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2A44"/>
          <w:sz w:val="36"/>
        </w:rPr>
        <w:t>REGOLAMENTO OPERATIVO ESTESO</w:t>
      </w:r>
    </w:p>
    <w:p>
      <w:pPr>
        <w:jc w:val="center"/>
      </w:pPr>
      <w:r>
        <w:rPr>
          <w:b/>
          <w:color w:val="215A96"/>
          <w:sz w:val="28"/>
        </w:rPr>
        <w:t>SFN14 - SUPER FANTA NOLA 2026/27</w:t>
      </w:r>
    </w:p>
    <w:p>
      <w:pPr>
        <w:jc w:val="center"/>
      </w:pPr>
      <w:r>
        <w:t>Versione aggiornata a premi, mercato finale, coppe europee post-Highlander, Ranking Europeo, bonus Poule e gestione tracker Ranking.</w:t>
      </w:r>
    </w:p>
    <w:p>
      <w:pPr>
        <w:pStyle w:val="Heading1"/>
      </w:pPr>
      <w:r>
        <w:t>Nota d’uso</w:t>
      </w:r>
    </w:p>
    <w:p>
      <w:pPr/>
      <w:r>
        <w:t>Questo documento traduce in forma estesa e prudenziale il regolamento SFN14 pubblicato sul sito. Serve a ridurre contestazioni, ambiguità e interpretazioni creative durante la stagione.</w:t>
      </w:r>
    </w:p>
    <w:p>
      <w:pPr/>
      <w:r>
        <w:t>La versione ufficiale è quella approvata dal gruppo prima dell’asta iniziale. In caso di differenze tra sito, calendario e documento Word, il gruppo deve chiarire prima dell’asta quale testo prevale.</w:t>
      </w:r>
    </w:p>
    <w:p>
      <w:pPr/>
      <w:r>
        <w:t>La versione v9.41 ripristina l’impianto esteso del regolamento operativo e incorpora le modifiche finali: cinque Aste Smart a rilanci, una sola tornata di buste sperimentale a inizio stagione, premi aggiornati, coppe europee posticipate dopo Highlander, bonus Poule per distacco dalla 1ª Regular e chiarimento operativo sul tracker del Ranking Europeo.</w:t>
      </w:r>
    </w:p>
    <w:p>
      <w:pPr>
        <w:pStyle w:val="Heading1"/>
      </w:pPr>
      <w:r>
        <w:t>Indice sintetico</w:t>
      </w:r>
    </w:p>
    <w:p>
      <w:pPr>
        <w:pStyle w:val="ListBullet"/>
      </w:pPr>
      <w:r>
        <w:t>1. Principi generali, partecipazione e approvazione</w:t>
      </w:r>
    </w:p>
    <w:p>
      <w:pPr>
        <w:pStyle w:val="ListBullet"/>
      </w:pPr>
      <w:r>
        <w:t>2. Quote, fondi, montepremi e pagamenti</w:t>
      </w:r>
    </w:p>
    <w:p>
      <w:pPr>
        <w:pStyle w:val="ListBullet"/>
      </w:pPr>
      <w:r>
        <w:t>3. Piattaforma, fonti, ruoli e impostazioni</w:t>
      </w:r>
    </w:p>
    <w:p>
      <w:pPr>
        <w:pStyle w:val="ListBullet"/>
      </w:pPr>
      <w:r>
        <w:t>4. Asta iniziale, rose, portieri, panchina e sostituzioni</w:t>
      </w:r>
    </w:p>
    <w:p>
      <w:pPr>
        <w:pStyle w:val="ListBullet"/>
      </w:pPr>
      <w:r>
        <w:t>5. Mercato: crediti, Aste Smart, busta sperimentale, nuovi arrivi, svincoli e scambi</w:t>
      </w:r>
    </w:p>
    <w:p>
      <w:pPr>
        <w:pStyle w:val="ListBullet"/>
      </w:pPr>
      <w:r>
        <w:t>6. Calendario e competizioni SFN14</w:t>
      </w:r>
    </w:p>
    <w:p>
      <w:pPr>
        <w:pStyle w:val="ListBullet"/>
      </w:pPr>
      <w:r>
        <w:t>7. Ranking Europeo: funzione e calcolo</w:t>
      </w:r>
    </w:p>
    <w:p>
      <w:pPr>
        <w:pStyle w:val="ListBullet"/>
      </w:pPr>
      <w:r>
        <w:t>8. Rinviate, recuperi, 6 politico, errori piattaforma e casi limite</w:t>
      </w:r>
    </w:p>
    <w:p>
      <w:pPr>
        <w:pStyle w:val="ListBullet"/>
      </w:pPr>
      <w:r>
        <w:t>9. Premi, penalità, classifiche speciali e montepremi</w:t>
      </w:r>
    </w:p>
    <w:p>
      <w:pPr>
        <w:pStyle w:val="ListBullet"/>
      </w:pPr>
      <w:r>
        <w:t>10. Formazioni, mancata consegna, comportamento e contestazioni</w:t>
      </w:r>
    </w:p>
    <w:p>
      <w:pPr>
        <w:pStyle w:val="ListBullet"/>
      </w:pPr>
      <w:r>
        <w:t>11. Clausole finali e allegati operativi</w:t>
      </w:r>
    </w:p>
    <w:p>
      <w:r>
        <w:br w:type="page"/>
      </w:r>
    </w:p>
    <w:p>
      <w:pPr>
        <w:pStyle w:val="Heading1"/>
      </w:pPr>
      <w:r>
        <w:t>1. Principi generali, partecipazione e approvazione</w:t>
      </w:r>
    </w:p>
    <w:p>
      <w:pPr>
        <w:pStyle w:val="Heading2"/>
      </w:pPr>
      <w:r>
        <w:t>1.1 Natura della competizione</w:t>
      </w:r>
    </w:p>
    <w:p>
      <w:pPr>
        <w:pStyle w:val="ListBullet"/>
      </w:pPr>
      <w:r>
        <w:t>SFN14 - Super Fanta Nola è una lega privata amatoriale di fantacalcio in modalità Mantra, organizzata tra partecipanti del gruppo.</w:t>
      </w:r>
    </w:p>
    <w:p>
      <w:pPr>
        <w:pStyle w:val="ListBullet"/>
      </w:pPr>
      <w:r>
        <w:t>Il format è concepito per 14 squadre effettive. La lega parte a 14 solo se sono presenti 14 adesioni valide prima dell’asta iniziale.</w:t>
      </w:r>
    </w:p>
    <w:p>
      <w:pPr>
        <w:pStyle w:val="ListBullet"/>
      </w:pPr>
      <w:r>
        <w:t>La partecipazione all’asta iniziale, dopo il versamento della quota, comporta accettazione integrale del regolamento approvato.</w:t>
      </w:r>
    </w:p>
    <w:p>
      <w:pPr>
        <w:pStyle w:val="ListBullet"/>
      </w:pPr>
      <w:r>
        <w:t>Il regolamento ha natura organizzativa interna e non costituisce contratto commerciale, documento federale o regolamento ufficiale di Fantacalcio.it.</w:t>
      </w:r>
    </w:p>
    <w:p>
      <w:pPr>
        <w:pStyle w:val="Heading2"/>
      </w:pPr>
      <w:r>
        <w:t>1.2 Principi guida</w:t>
      </w:r>
    </w:p>
    <w:p>
      <w:pPr>
        <w:pStyle w:val="ListBullet"/>
      </w:pPr>
      <w:r>
        <w:t>Stabilità: una volta iniziata la stagione, non si cambiano le regole sostanziali per risolvere un caso singolo.</w:t>
      </w:r>
    </w:p>
    <w:p>
      <w:pPr>
        <w:pStyle w:val="ListBullet"/>
      </w:pPr>
      <w:r>
        <w:t>Trasparenza: ogni decisione rilevante deve essere comunicata nel gruppo e, ove necessario, votata secondo procedura chiara.</w:t>
      </w:r>
    </w:p>
    <w:p>
      <w:pPr>
        <w:pStyle w:val="ListBullet"/>
      </w:pPr>
      <w:r>
        <w:t>Equilibrio dei calendari: dove possibile, le competizioni sono costruite per evitare calendari sbilanciati; quando vi sono riposi, gironi dispari o fattore campo, tali elementi sono indicati espressamente.</w:t>
      </w:r>
    </w:p>
    <w:p>
      <w:pPr>
        <w:pStyle w:val="ListBullet"/>
      </w:pPr>
      <w:r>
        <w:t>Giocabilità: il format cerca di mantenere obiettivi concreti per più squadre possibile fino alla fase finale della stagione.</w:t>
      </w:r>
    </w:p>
    <w:p>
      <w:pPr>
        <w:pStyle w:val="ListBullet"/>
      </w:pPr>
      <w:r>
        <w:t>Prevenzione delle polemiche: ogni clausola serve a evitare processi retroattivi, non a complicare inutilmente il gioco.</w:t>
      </w:r>
    </w:p>
    <w:p>
      <w:pPr>
        <w:pStyle w:val="Heading2"/>
      </w:pPr>
      <w:r>
        <w:t>1.3 Versione ufficiale e modifiche</w:t>
      </w:r>
    </w:p>
    <w:p>
      <w:pPr>
        <w:pStyle w:val="ListBullet"/>
      </w:pPr>
      <w:r>
        <w:t>La versione ufficiale è quella approvata dal gruppo prima dell’asta iniziale.</w:t>
      </w:r>
    </w:p>
    <w:p>
      <w:pPr>
        <w:pStyle w:val="ListBullet"/>
      </w:pPr>
      <w:r>
        <w:t>Correzioni meramente formali, refusi o incoerenze evidenti possono essere sistemati dall’organizzazione, purché non alterino il contenuto sostanziale.</w:t>
      </w:r>
    </w:p>
    <w:p>
      <w:pPr>
        <w:pStyle w:val="ListBullet"/>
      </w:pPr>
      <w:r>
        <w:t>Le modifiche sostanziali dopo l’asta sono vietate, salvo casi eccezionali, impossibilità tecnica della piattaforma o eventi non previsti di gravità tale da compromettere la stagione.</w:t>
      </w:r>
    </w:p>
    <w:p>
      <w:pPr>
        <w:pStyle w:val="ListBullet"/>
      </w:pPr>
      <w:r>
        <w:t>Ogni modifica sostanziale in corsa richiede una comunicazione scritta, una motivazione e una votazione espressa del gruppo.</w:t>
      </w:r>
    </w:p>
    <w:p>
      <w:pPr>
        <w:pStyle w:val="Heading1"/>
      </w:pPr>
      <w:r>
        <w:t>2. Quote, fondi, montepremi e pagamenti</w:t>
      </w:r>
    </w:p>
    <w:p>
      <w:pPr>
        <w:pStyle w:val="Heading2"/>
      </w:pPr>
      <w:r>
        <w:t>2.1 Quota e fondo buzzer</w:t>
      </w:r>
    </w:p>
    <w:p>
      <w:pPr>
        <w:pStyle w:val="ListBullet"/>
      </w:pPr>
      <w:r>
        <w:t>La quota ufficiale è pari a 110 euro netti per squadra ed è destinata interamente al montepremi sportivo.</w:t>
      </w:r>
    </w:p>
    <w:p>
      <w:pPr>
        <w:pStyle w:val="ListBullet"/>
      </w:pPr>
      <w:r>
        <w:t>Il pagamento deve avvenire entro la scadenza comunicata. Chi non versa la quota può essere escluso o sostituito, salvo diversa decisione del gruppo.</w:t>
      </w:r>
    </w:p>
    <w:p>
      <w:pPr>
        <w:pStyle w:val="ListBullet"/>
      </w:pPr>
      <w:r>
        <w:t>Pizze, birre, cornetti e spese accessorie sono coperte dal fondo buzzer separato, pari a 160 euro derivanti dalla vendita dei buzzer fantacalcio.</w:t>
      </w:r>
    </w:p>
    <w:p>
      <w:pPr>
        <w:pStyle w:val="ListBullet"/>
      </w:pPr>
      <w:r>
        <w:t>Il fondo buzzer non altera la quota sportiva e non fa parte del montepremi ufficiale.</w:t>
      </w:r>
    </w:p>
    <w:p>
      <w:pPr>
        <w:pStyle w:val="Heading2"/>
      </w:pPr>
      <w:r>
        <w:t>2.2 Montepremi ufficiale aggiornato</w:t>
      </w:r>
    </w:p>
    <w:tbl>
      <w:tblPr>
        <w:tblStyle w:val="TableGrid"/>
        <w:tblW w:type="auto" w:w="0"/>
        <w:jc w:val="center"/>
        <w:tblLook w:firstColumn="1" w:firstRow="1" w:lastColumn="0" w:lastRow="0" w:noHBand="0" w:noVBand="1" w:val="04A0"/>
      </w:tblPr>
      <w:tblGrid>
        <w:gridCol w:w="3485"/>
        <w:gridCol w:w="3485"/>
        <w:gridCol w:w="3485"/>
      </w:tblGrid>
      <w:tr>
        <w:tc>
          <w:tcPr>
            <w:tcW w:type="dxa" w:w="3485"/>
            <w:shd w:fill="1F2A44"/>
            <w:vAlign w:val="center"/>
            <w:tcBorders>
              <w:top w:sz="4" w:val="single" w:color="999999"/>
              <w:left w:sz="4" w:val="single" w:color="999999"/>
              <w:bottom w:sz="4" w:val="single" w:color="999999"/>
              <w:right w:sz="4" w:val="single" w:color="999999"/>
            </w:tcBorders>
          </w:tcPr>
          <w:p>
            <w:r>
              <w:rPr>
                <w:b/>
                <w:color w:val="FFFFFF"/>
                <w:sz w:val="16"/>
              </w:rPr>
              <w:t>Voce</w:t>
            </w:r>
          </w:p>
        </w:tc>
        <w:tc>
          <w:tcPr>
            <w:tcW w:type="dxa" w:w="3485"/>
            <w:shd w:fill="1F2A44"/>
            <w:vAlign w:val="center"/>
            <w:tcBorders>
              <w:top w:sz="4" w:val="single" w:color="999999"/>
              <w:left w:sz="4" w:val="single" w:color="999999"/>
              <w:bottom w:sz="4" w:val="single" w:color="999999"/>
              <w:right w:sz="4" w:val="single" w:color="999999"/>
            </w:tcBorders>
          </w:tcPr>
          <w:p>
            <w:r>
              <w:rPr>
                <w:b/>
                <w:color w:val="FFFFFF"/>
                <w:sz w:val="16"/>
              </w:rPr>
              <w:t>Premi</w:t>
            </w:r>
          </w:p>
        </w:tc>
        <w:tc>
          <w:tcPr>
            <w:tcW w:type="dxa" w:w="3485"/>
            <w:shd w:fill="1F2A44"/>
            <w:vAlign w:val="center"/>
            <w:tcBorders>
              <w:top w:sz="4" w:val="single" w:color="999999"/>
              <w:left w:sz="4" w:val="single" w:color="999999"/>
              <w:bottom w:sz="4" w:val="single" w:color="999999"/>
              <w:right w:sz="4" w:val="single" w:color="999999"/>
            </w:tcBorders>
          </w:tcPr>
          <w:p>
            <w:r>
              <w:rPr>
                <w:b/>
                <w:color w:val="FFFFFF"/>
                <w:sz w:val="16"/>
              </w:rPr>
              <w:t>Totale</w:t>
            </w:r>
          </w:p>
        </w:tc>
      </w:tr>
      <w:tr>
        <w:tc>
          <w:tcPr>
            <w:tcW w:type="dxa" w:w="3485"/>
            <w:vAlign w:val="top"/>
            <w:tcBorders>
              <w:top w:sz="4" w:val="single" w:color="999999"/>
              <w:left w:sz="4" w:val="single" w:color="999999"/>
              <w:bottom w:sz="4" w:val="single" w:color="999999"/>
              <w:right w:sz="4" w:val="single" w:color="999999"/>
            </w:tcBorders>
          </w:tcPr>
          <w:p>
            <w:r>
              <w:rPr>
                <w:sz w:val="16"/>
              </w:rPr>
              <w:t>Poule Scudetto / SFN League</w:t>
            </w:r>
          </w:p>
        </w:tc>
        <w:tc>
          <w:tcPr>
            <w:tcW w:type="dxa" w:w="3485"/>
            <w:vAlign w:val="top"/>
            <w:tcBorders>
              <w:top w:sz="4" w:val="single" w:color="999999"/>
              <w:left w:sz="4" w:val="single" w:color="999999"/>
              <w:bottom w:sz="4" w:val="single" w:color="999999"/>
              <w:right w:sz="4" w:val="single" w:color="999999"/>
            </w:tcBorders>
          </w:tcPr>
          <w:p>
            <w:r>
              <w:rPr>
                <w:sz w:val="16"/>
              </w:rPr>
              <w:t>1° 230 euro · 2° 110 euro</w:t>
            </w:r>
          </w:p>
        </w:tc>
        <w:tc>
          <w:tcPr>
            <w:tcW w:type="dxa" w:w="3485"/>
            <w:vAlign w:val="top"/>
            <w:tcBorders>
              <w:top w:sz="4" w:val="single" w:color="999999"/>
              <w:left w:sz="4" w:val="single" w:color="999999"/>
              <w:bottom w:sz="4" w:val="single" w:color="999999"/>
              <w:right w:sz="4" w:val="single" w:color="999999"/>
            </w:tcBorders>
          </w:tcPr>
          <w:p>
            <w:r>
              <w:rPr>
                <w:sz w:val="16"/>
              </w:rPr>
              <w:t>340 euro</w:t>
            </w:r>
          </w:p>
        </w:tc>
      </w:tr>
      <w:tr>
        <w:tc>
          <w:tcPr>
            <w:tcW w:type="dxa" w:w="3485"/>
            <w:vAlign w:val="top"/>
            <w:tcBorders>
              <w:top w:sz="4" w:val="single" w:color="999999"/>
              <w:left w:sz="4" w:val="single" w:color="999999"/>
              <w:bottom w:sz="4" w:val="single" w:color="999999"/>
              <w:right w:sz="4" w:val="single" w:color="999999"/>
            </w:tcBorders>
          </w:tcPr>
          <w:p>
            <w:r>
              <w:rPr>
                <w:sz w:val="16"/>
              </w:rPr>
              <w:t>Regular Season</w:t>
            </w:r>
          </w:p>
        </w:tc>
        <w:tc>
          <w:tcPr>
            <w:tcW w:type="dxa" w:w="3485"/>
            <w:vAlign w:val="top"/>
            <w:tcBorders>
              <w:top w:sz="4" w:val="single" w:color="999999"/>
              <w:left w:sz="4" w:val="single" w:color="999999"/>
              <w:bottom w:sz="4" w:val="single" w:color="999999"/>
              <w:right w:sz="4" w:val="single" w:color="999999"/>
            </w:tcBorders>
          </w:tcPr>
          <w:p>
            <w:r>
              <w:rPr>
                <w:sz w:val="16"/>
              </w:rPr>
              <w:t>1° 200 euro · 2° 100 euro</w:t>
            </w:r>
          </w:p>
        </w:tc>
        <w:tc>
          <w:tcPr>
            <w:tcW w:type="dxa" w:w="3485"/>
            <w:vAlign w:val="top"/>
            <w:tcBorders>
              <w:top w:sz="4" w:val="single" w:color="999999"/>
              <w:left w:sz="4" w:val="single" w:color="999999"/>
              <w:bottom w:sz="4" w:val="single" w:color="999999"/>
              <w:right w:sz="4" w:val="single" w:color="999999"/>
            </w:tcBorders>
          </w:tcPr>
          <w:p>
            <w:r>
              <w:rPr>
                <w:sz w:val="16"/>
              </w:rPr>
              <w:t>300 euro</w:t>
            </w:r>
          </w:p>
        </w:tc>
      </w:tr>
      <w:tr>
        <w:tc>
          <w:tcPr>
            <w:tcW w:type="dxa" w:w="3485"/>
            <w:vAlign w:val="top"/>
            <w:tcBorders>
              <w:top w:sz="4" w:val="single" w:color="999999"/>
              <w:left w:sz="4" w:val="single" w:color="999999"/>
              <w:bottom w:sz="4" w:val="single" w:color="999999"/>
              <w:right w:sz="4" w:val="single" w:color="999999"/>
            </w:tcBorders>
          </w:tcPr>
          <w:p>
            <w:r>
              <w:rPr>
                <w:sz w:val="16"/>
              </w:rPr>
              <w:t>Battle Royale unica complessiva</w:t>
            </w:r>
          </w:p>
        </w:tc>
        <w:tc>
          <w:tcPr>
            <w:tcW w:type="dxa" w:w="3485"/>
            <w:vAlign w:val="top"/>
            <w:tcBorders>
              <w:top w:sz="4" w:val="single" w:color="999999"/>
              <w:left w:sz="4" w:val="single" w:color="999999"/>
              <w:bottom w:sz="4" w:val="single" w:color="999999"/>
              <w:right w:sz="4" w:val="single" w:color="999999"/>
            </w:tcBorders>
          </w:tcPr>
          <w:p>
            <w:r>
              <w:rPr>
                <w:sz w:val="16"/>
              </w:rPr>
              <w:t>1° 200 euro · 2° 100 euro</w:t>
            </w:r>
          </w:p>
        </w:tc>
        <w:tc>
          <w:tcPr>
            <w:tcW w:type="dxa" w:w="3485"/>
            <w:vAlign w:val="top"/>
            <w:tcBorders>
              <w:top w:sz="4" w:val="single" w:color="999999"/>
              <w:left w:sz="4" w:val="single" w:color="999999"/>
              <w:bottom w:sz="4" w:val="single" w:color="999999"/>
              <w:right w:sz="4" w:val="single" w:color="999999"/>
            </w:tcBorders>
          </w:tcPr>
          <w:p>
            <w:r>
              <w:rPr>
                <w:sz w:val="16"/>
              </w:rPr>
              <w:t>300 euro</w:t>
            </w:r>
          </w:p>
        </w:tc>
      </w:tr>
      <w:tr>
        <w:tc>
          <w:tcPr>
            <w:tcW w:type="dxa" w:w="3485"/>
            <w:vAlign w:val="top"/>
            <w:tcBorders>
              <w:top w:sz="4" w:val="single" w:color="999999"/>
              <w:left w:sz="4" w:val="single" w:color="999999"/>
              <w:bottom w:sz="4" w:val="single" w:color="999999"/>
              <w:right w:sz="4" w:val="single" w:color="999999"/>
            </w:tcBorders>
          </w:tcPr>
          <w:p>
            <w:r>
              <w:rPr>
                <w:sz w:val="16"/>
              </w:rPr>
              <w:t>SFN Champions League</w:t>
            </w:r>
          </w:p>
        </w:tc>
        <w:tc>
          <w:tcPr>
            <w:tcW w:type="dxa" w:w="3485"/>
            <w:vAlign w:val="top"/>
            <w:tcBorders>
              <w:top w:sz="4" w:val="single" w:color="999999"/>
              <w:left w:sz="4" w:val="single" w:color="999999"/>
              <w:bottom w:sz="4" w:val="single" w:color="999999"/>
              <w:right w:sz="4" w:val="single" w:color="999999"/>
            </w:tcBorders>
          </w:tcPr>
          <w:p>
            <w:r>
              <w:rPr>
                <w:sz w:val="16"/>
              </w:rPr>
              <w:t>1° 125 euro · 2° 65 euro</w:t>
            </w:r>
          </w:p>
        </w:tc>
        <w:tc>
          <w:tcPr>
            <w:tcW w:type="dxa" w:w="3485"/>
            <w:vAlign w:val="top"/>
            <w:tcBorders>
              <w:top w:sz="4" w:val="single" w:color="999999"/>
              <w:left w:sz="4" w:val="single" w:color="999999"/>
              <w:bottom w:sz="4" w:val="single" w:color="999999"/>
              <w:right w:sz="4" w:val="single" w:color="999999"/>
            </w:tcBorders>
          </w:tcPr>
          <w:p>
            <w:r>
              <w:rPr>
                <w:sz w:val="16"/>
              </w:rPr>
              <w:t>190 euro</w:t>
            </w:r>
          </w:p>
        </w:tc>
      </w:tr>
      <w:tr>
        <w:tc>
          <w:tcPr>
            <w:tcW w:type="dxa" w:w="3485"/>
            <w:vAlign w:val="top"/>
            <w:tcBorders>
              <w:top w:sz="4" w:val="single" w:color="999999"/>
              <w:left w:sz="4" w:val="single" w:color="999999"/>
              <w:bottom w:sz="4" w:val="single" w:color="999999"/>
              <w:right w:sz="4" w:val="single" w:color="999999"/>
            </w:tcBorders>
          </w:tcPr>
          <w:p>
            <w:r>
              <w:rPr>
                <w:sz w:val="16"/>
              </w:rPr>
              <w:t>SFN Europa League</w:t>
            </w:r>
          </w:p>
        </w:tc>
        <w:tc>
          <w:tcPr>
            <w:tcW w:type="dxa" w:w="3485"/>
            <w:vAlign w:val="top"/>
            <w:tcBorders>
              <w:top w:sz="4" w:val="single" w:color="999999"/>
              <w:left w:sz="4" w:val="single" w:color="999999"/>
              <w:bottom w:sz="4" w:val="single" w:color="999999"/>
              <w:right w:sz="4" w:val="single" w:color="999999"/>
            </w:tcBorders>
          </w:tcPr>
          <w:p>
            <w:r>
              <w:rPr>
                <w:sz w:val="16"/>
              </w:rPr>
              <w:t>1° 85 euro · 2° 40 euro</w:t>
            </w:r>
          </w:p>
        </w:tc>
        <w:tc>
          <w:tcPr>
            <w:tcW w:type="dxa" w:w="3485"/>
            <w:vAlign w:val="top"/>
            <w:tcBorders>
              <w:top w:sz="4" w:val="single" w:color="999999"/>
              <w:left w:sz="4" w:val="single" w:color="999999"/>
              <w:bottom w:sz="4" w:val="single" w:color="999999"/>
              <w:right w:sz="4" w:val="single" w:color="999999"/>
            </w:tcBorders>
          </w:tcPr>
          <w:p>
            <w:r>
              <w:rPr>
                <w:sz w:val="16"/>
              </w:rPr>
              <w:t>125 euro</w:t>
            </w:r>
          </w:p>
        </w:tc>
      </w:tr>
      <w:tr>
        <w:tc>
          <w:tcPr>
            <w:tcW w:type="dxa" w:w="3485"/>
            <w:vAlign w:val="top"/>
            <w:tcBorders>
              <w:top w:sz="4" w:val="single" w:color="999999"/>
              <w:left w:sz="4" w:val="single" w:color="999999"/>
              <w:bottom w:sz="4" w:val="single" w:color="999999"/>
              <w:right w:sz="4" w:val="single" w:color="999999"/>
            </w:tcBorders>
          </w:tcPr>
          <w:p>
            <w:r>
              <w:rPr>
                <w:sz w:val="16"/>
              </w:rPr>
              <w:t>Coppa Italia</w:t>
            </w:r>
          </w:p>
        </w:tc>
        <w:tc>
          <w:tcPr>
            <w:tcW w:type="dxa" w:w="3485"/>
            <w:vAlign w:val="top"/>
            <w:tcBorders>
              <w:top w:sz="4" w:val="single" w:color="999999"/>
              <w:left w:sz="4" w:val="single" w:color="999999"/>
              <w:bottom w:sz="4" w:val="single" w:color="999999"/>
              <w:right w:sz="4" w:val="single" w:color="999999"/>
            </w:tcBorders>
          </w:tcPr>
          <w:p>
            <w:r>
              <w:rPr>
                <w:sz w:val="16"/>
              </w:rPr>
              <w:t>1° 85 euro · 2° 40 euro</w:t>
            </w:r>
          </w:p>
        </w:tc>
        <w:tc>
          <w:tcPr>
            <w:tcW w:type="dxa" w:w="3485"/>
            <w:vAlign w:val="top"/>
            <w:tcBorders>
              <w:top w:sz="4" w:val="single" w:color="999999"/>
              <w:left w:sz="4" w:val="single" w:color="999999"/>
              <w:bottom w:sz="4" w:val="single" w:color="999999"/>
              <w:right w:sz="4" w:val="single" w:color="999999"/>
            </w:tcBorders>
          </w:tcPr>
          <w:p>
            <w:r>
              <w:rPr>
                <w:sz w:val="16"/>
              </w:rPr>
              <w:t>125 euro</w:t>
            </w:r>
          </w:p>
        </w:tc>
      </w:tr>
      <w:tr>
        <w:tc>
          <w:tcPr>
            <w:tcW w:type="dxa" w:w="3485"/>
            <w:vAlign w:val="top"/>
            <w:tcBorders>
              <w:top w:sz="4" w:val="single" w:color="999999"/>
              <w:left w:sz="4" w:val="single" w:color="999999"/>
              <w:bottom w:sz="4" w:val="single" w:color="999999"/>
              <w:right w:sz="4" w:val="single" w:color="999999"/>
            </w:tcBorders>
          </w:tcPr>
          <w:p>
            <w:r>
              <w:rPr>
                <w:sz w:val="16"/>
              </w:rPr>
              <w:t>Coppa dei Disperati</w:t>
            </w:r>
          </w:p>
        </w:tc>
        <w:tc>
          <w:tcPr>
            <w:tcW w:type="dxa" w:w="3485"/>
            <w:vAlign w:val="top"/>
            <w:tcBorders>
              <w:top w:sz="4" w:val="single" w:color="999999"/>
              <w:left w:sz="4" w:val="single" w:color="999999"/>
              <w:bottom w:sz="4" w:val="single" w:color="999999"/>
              <w:right w:sz="4" w:val="single" w:color="999999"/>
            </w:tcBorders>
          </w:tcPr>
          <w:p>
            <w:r>
              <w:rPr>
                <w:sz w:val="16"/>
              </w:rPr>
              <w:t>1° 80 euro</w:t>
            </w:r>
          </w:p>
        </w:tc>
        <w:tc>
          <w:tcPr>
            <w:tcW w:type="dxa" w:w="3485"/>
            <w:vAlign w:val="top"/>
            <w:tcBorders>
              <w:top w:sz="4" w:val="single" w:color="999999"/>
              <w:left w:sz="4" w:val="single" w:color="999999"/>
              <w:bottom w:sz="4" w:val="single" w:color="999999"/>
              <w:right w:sz="4" w:val="single" w:color="999999"/>
            </w:tcBorders>
          </w:tcPr>
          <w:p>
            <w:r>
              <w:rPr>
                <w:sz w:val="16"/>
              </w:rPr>
              <w:t>80 euro</w:t>
            </w:r>
          </w:p>
        </w:tc>
      </w:tr>
      <w:tr>
        <w:tc>
          <w:tcPr>
            <w:tcW w:type="dxa" w:w="3485"/>
            <w:vAlign w:val="top"/>
            <w:tcBorders>
              <w:top w:sz="4" w:val="single" w:color="999999"/>
              <w:left w:sz="4" w:val="single" w:color="999999"/>
              <w:bottom w:sz="4" w:val="single" w:color="999999"/>
              <w:right w:sz="4" w:val="single" w:color="999999"/>
            </w:tcBorders>
          </w:tcPr>
          <w:p>
            <w:r>
              <w:rPr>
                <w:sz w:val="16"/>
              </w:rPr>
              <w:t>Highlander Cup</w:t>
            </w:r>
          </w:p>
        </w:tc>
        <w:tc>
          <w:tcPr>
            <w:tcW w:type="dxa" w:w="3485"/>
            <w:vAlign w:val="top"/>
            <w:tcBorders>
              <w:top w:sz="4" w:val="single" w:color="999999"/>
              <w:left w:sz="4" w:val="single" w:color="999999"/>
              <w:bottom w:sz="4" w:val="single" w:color="999999"/>
              <w:right w:sz="4" w:val="single" w:color="999999"/>
            </w:tcBorders>
          </w:tcPr>
          <w:p>
            <w:r>
              <w:rPr>
                <w:sz w:val="16"/>
              </w:rPr>
              <w:t>1° 80 euro</w:t>
            </w:r>
          </w:p>
        </w:tc>
        <w:tc>
          <w:tcPr>
            <w:tcW w:type="dxa" w:w="3485"/>
            <w:vAlign w:val="top"/>
            <w:tcBorders>
              <w:top w:sz="4" w:val="single" w:color="999999"/>
              <w:left w:sz="4" w:val="single" w:color="999999"/>
              <w:bottom w:sz="4" w:val="single" w:color="999999"/>
              <w:right w:sz="4" w:val="single" w:color="999999"/>
            </w:tcBorders>
          </w:tcPr>
          <w:p>
            <w:r>
              <w:rPr>
                <w:sz w:val="16"/>
              </w:rPr>
              <w:t>80 euro</w:t>
            </w:r>
          </w:p>
        </w:tc>
      </w:tr>
      <w:tr>
        <w:tc>
          <w:tcPr>
            <w:tcW w:type="dxa" w:w="3485"/>
            <w:vAlign w:val="top"/>
            <w:tcBorders>
              <w:top w:sz="4" w:val="single" w:color="999999"/>
              <w:left w:sz="4" w:val="single" w:color="999999"/>
              <w:bottom w:sz="4" w:val="single" w:color="999999"/>
              <w:right w:sz="4" w:val="single" w:color="999999"/>
            </w:tcBorders>
          </w:tcPr>
          <w:p>
            <w:r>
              <w:rPr>
                <w:sz w:val="16"/>
              </w:rPr>
              <w:t>Totale montepremi</w:t>
            </w:r>
          </w:p>
        </w:tc>
        <w:tc>
          <w:tcPr>
            <w:tcW w:type="dxa" w:w="3485"/>
            <w:vAlign w:val="top"/>
            <w:tcBorders>
              <w:top w:sz="4" w:val="single" w:color="999999"/>
              <w:left w:sz="4" w:val="single" w:color="999999"/>
              <w:bottom w:sz="4" w:val="single" w:color="999999"/>
              <w:right w:sz="4" w:val="single" w:color="999999"/>
            </w:tcBorders>
          </w:tcPr>
          <w:p>
            <w:r>
              <w:rPr>
                <w:sz w:val="16"/>
              </w:rPr>
            </w:r>
          </w:p>
        </w:tc>
        <w:tc>
          <w:tcPr>
            <w:tcW w:type="dxa" w:w="3485"/>
            <w:vAlign w:val="top"/>
            <w:tcBorders>
              <w:top w:sz="4" w:val="single" w:color="999999"/>
              <w:left w:sz="4" w:val="single" w:color="999999"/>
              <w:bottom w:sz="4" w:val="single" w:color="999999"/>
              <w:right w:sz="4" w:val="single" w:color="999999"/>
            </w:tcBorders>
          </w:tcPr>
          <w:p>
            <w:r>
              <w:rPr>
                <w:sz w:val="16"/>
              </w:rPr>
              <w:t>1.540 euro</w:t>
            </w:r>
          </w:p>
        </w:tc>
      </w:tr>
    </w:tbl>
    <w:p>
      <w:pPr>
        <w:pStyle w:val="ListBullet"/>
      </w:pPr>
      <w:r>
        <w:t>Il Premio Martire non pesa sul montepremi ufficiale: è finanziato dalla penalità Sculato.</w:t>
      </w:r>
    </w:p>
    <w:p>
      <w:pPr>
        <w:pStyle w:val="ListBullet"/>
      </w:pPr>
      <w:r>
        <w:t>Cornetti BlaBla è una penalità goliardica fuori montepremi.</w:t>
      </w:r>
    </w:p>
    <w:p>
      <w:pPr>
        <w:pStyle w:val="ListBullet"/>
      </w:pPr>
      <w:r>
        <w:t>Eventuali premi non ritirati o casi di pari merito non disciplinati saranno risolti secondo le clausole di spareggio o decisione approvata.</w:t>
      </w:r>
    </w:p>
    <w:p>
      <w:pPr>
        <w:pStyle w:val="Heading1"/>
      </w:pPr>
      <w:r>
        <w:t>3. Piattaforma, fonti, ruoli e impostazioni</w:t>
      </w:r>
    </w:p>
    <w:p>
      <w:pPr>
        <w:pStyle w:val="ListBullet"/>
      </w:pPr>
      <w:r>
        <w:t>La piattaforma gestionale è Fantacalcio.it, nella lega privata del gruppo.</w:t>
      </w:r>
    </w:p>
    <w:p>
      <w:pPr>
        <w:pStyle w:val="ListBullet"/>
      </w:pPr>
      <w:r>
        <w:t>La modalità di gioco è Mantra.</w:t>
      </w:r>
    </w:p>
    <w:p>
      <w:pPr>
        <w:pStyle w:val="ListBullet"/>
      </w:pPr>
      <w:r>
        <w:t>I ruoli dei calciatori sono quelli assegnati dalla redazione Fantacalcio.it e non sono modificabili dalla lega.</w:t>
      </w:r>
    </w:p>
    <w:p>
      <w:pPr>
        <w:pStyle w:val="ListBullet"/>
      </w:pPr>
      <w:r>
        <w:t>I voti e le statistiche utilizzati dalla lega sono i Voti Statistici Alvin sulla piattaforma Fantacalcio.it, salvo diversa votazione prima dell’asta.</w:t>
      </w:r>
    </w:p>
    <w:p>
      <w:pPr>
        <w:pStyle w:val="ListBullet"/>
      </w:pPr>
      <w:r>
        <w:t>In caso di difformità tra opinioni personali e dati ufficiali della piattaforma, prevale la piattaforma, salvo errore tecnico riconosciuto e documentabile.</w:t>
      </w:r>
    </w:p>
    <w:p>
      <w:pPr>
        <w:pStyle w:val="ListBullet"/>
      </w:pPr>
      <w:r>
        <w:t>Fantacalcio, Fantacalcio.it e Mantra sono marchi o segni distintivi dei rispettivi titolari. SFN14 è un progetto amatoriale non ufficiale e non affiliato.</w:t>
      </w:r>
    </w:p>
    <w:p>
      <w:pPr>
        <w:pStyle w:val="Heading2"/>
      </w:pPr>
      <w:r>
        <w:t>3.1 Presidente, vice e gestione operativa</w:t>
      </w:r>
    </w:p>
    <w:p>
      <w:pPr>
        <w:pStyle w:val="ListBullet"/>
      </w:pPr>
      <w:r>
        <w:t>L’organizzazione gestisce calendario, comunicazioni, raccolta quote, configurazione competizioni e risoluzione dei casi tecnici.</w:t>
      </w:r>
    </w:p>
    <w:p>
      <w:pPr>
        <w:pStyle w:val="ListBullet"/>
      </w:pPr>
      <w:r>
        <w:t>Il Presidente può proporre interpretazioni operative, ma non può modificare in corsa una regola sostanziale senza procedura.</w:t>
      </w:r>
    </w:p>
    <w:p>
      <w:pPr>
        <w:pStyle w:val="ListBullet"/>
      </w:pPr>
      <w:r>
        <w:t>Il Vicepresidente o altro referente indicato dal gruppo può validare comunicazioni urgenti in assenza del Presidente.</w:t>
      </w:r>
    </w:p>
    <w:p>
      <w:pPr>
        <w:pStyle w:val="ListBullet"/>
      </w:pPr>
      <w:r>
        <w:t>Le decisioni operative devono essere prese nell’interesse della regolarità della lega, non della singola squadra coinvolta.</w:t>
      </w:r>
    </w:p>
    <w:p>
      <w:pPr>
        <w:pStyle w:val="Heading1"/>
      </w:pPr>
      <w:r>
        <w:t>4. Asta iniziale, rose, portieri, panchina e sostituzioni</w:t>
      </w:r>
    </w:p>
    <w:p>
      <w:pPr>
        <w:pStyle w:val="Heading2"/>
      </w:pPr>
      <w:r>
        <w:t>4.1 Asta iniziale</w:t>
      </w:r>
    </w:p>
    <w:p>
      <w:pPr>
        <w:pStyle w:val="ListBullet"/>
      </w:pPr>
      <w:r>
        <w:t>Budget iniziale: 500 crediti per ciascuna squadra.</w:t>
      </w:r>
    </w:p>
    <w:p>
      <w:pPr>
        <w:pStyle w:val="ListBullet"/>
      </w:pPr>
      <w:r>
        <w:t>Base d’asta: 1 credito. Rilancio minimo: 1 credito.</w:t>
      </w:r>
    </w:p>
    <w:p>
      <w:pPr>
        <w:pStyle w:val="ListBullet"/>
      </w:pPr>
      <w:r>
        <w:t>L’asta è svolta con metodo e software scelti dal gruppo.</w:t>
      </w:r>
    </w:p>
    <w:p>
      <w:pPr>
        <w:pStyle w:val="ListBullet"/>
      </w:pPr>
      <w:r>
        <w:t>Durante l’asta di un calciatore non è consentito chiedere pausa. Le pause sono ammesse solo tra un calciatore e il successivo.</w:t>
      </w:r>
    </w:p>
    <w:p>
      <w:pPr>
        <w:pStyle w:val="ListBullet"/>
      </w:pPr>
      <w:r>
        <w:t>La chiamata di un calciatore, l’apertura dell’asta e l’aggiudicazione seguono le regole tecniche della piattaforma o del software utilizzato.</w:t>
      </w:r>
    </w:p>
    <w:p>
      <w:pPr>
        <w:pStyle w:val="ListBullet"/>
      </w:pPr>
      <w:r>
        <w:t>Eventuali errori di chiamata devono essere segnalati immediatamente, prima che si passi al calciatore successivo. Oltre tale momento, l’aggiudicazione si considera consolidata, salvo errore tecnico evidente.</w:t>
      </w:r>
    </w:p>
    <w:p>
      <w:pPr>
        <w:pStyle w:val="Heading2"/>
      </w:pPr>
      <w:r>
        <w:t>4.2 Rosa iniziale e limiti</w:t>
      </w:r>
    </w:p>
    <w:p>
      <w:pPr>
        <w:pStyle w:val="ListBullet"/>
      </w:pPr>
      <w:r>
        <w:t>Ogni squadra acquista all’asta iniziale 24 calciatori: 3 portieri e 21 giocatori di movimento.</w:t>
      </w:r>
    </w:p>
    <w:p>
      <w:pPr>
        <w:pStyle w:val="ListBullet"/>
      </w:pPr>
      <w:r>
        <w:t>Durante la stagione la rosa può arrivare fino a un massimo di 26 calciatori.</w:t>
      </w:r>
    </w:p>
    <w:p>
      <w:pPr>
        <w:pStyle w:val="ListBullet"/>
      </w:pPr>
      <w:r>
        <w:t>Non è consentito superare il limite massimo di rosa, salvo errore tecnico temporaneo da sanare immediatamente secondo indicazioni dell’organizzazione.</w:t>
      </w:r>
    </w:p>
    <w:p>
      <w:pPr>
        <w:pStyle w:val="ListBullet"/>
      </w:pPr>
      <w:r>
        <w:t>I portieri sono liberi: non vi è obbligo di blocco squadra, titolare-riserva o limite di provenienza da squadre diverse, salvo diversa impostazione della piattaforma.</w:t>
      </w:r>
    </w:p>
    <w:p>
      <w:pPr>
        <w:pStyle w:val="Heading2"/>
      </w:pPr>
      <w:r>
        <w:t>4.3 Panchina e sostituzioni</w:t>
      </w:r>
    </w:p>
    <w:p>
      <w:pPr>
        <w:pStyle w:val="ListBullet"/>
      </w:pPr>
      <w:r>
        <w:t>Sostituzioni massime: 5.</w:t>
      </w:r>
    </w:p>
    <w:p>
      <w:pPr>
        <w:pStyle w:val="ListBullet"/>
      </w:pPr>
      <w:r>
        <w:t>Non è prevista riserva d’ufficio. Se non esistono sostituti validi, la squadra gioca con calciatori in meno.</w:t>
      </w:r>
    </w:p>
    <w:p>
      <w:pPr>
        <w:pStyle w:val="ListBullet"/>
      </w:pPr>
      <w:r>
        <w:t>Modalità sostituzioni: Master, con cambio modulo e soluzioni efficienti/adattate secondo impostazioni della piattaforma.</w:t>
      </w:r>
    </w:p>
    <w:p>
      <w:pPr>
        <w:pStyle w:val="ListBullet"/>
      </w:pPr>
      <w:r>
        <w:t>Switch Plus attivo per tutta la stagione, salvo diversa decisione approvata prima dell’inizio.</w:t>
      </w:r>
    </w:p>
    <w:p>
      <w:pPr>
        <w:pStyle w:val="Heading1"/>
      </w:pPr>
      <w:r>
        <w:t>5. Mercato: crediti, Aste Smart, busta sperimentale, nuovi arrivi, svincoli e scambi</w:t>
      </w:r>
    </w:p>
    <w:p>
      <w:pPr>
        <w:pStyle w:val="Heading2"/>
      </w:pPr>
      <w:r>
        <w:t>5.1 Crediti mercato</w:t>
      </w:r>
    </w:p>
    <w:p>
      <w:pPr>
        <w:pStyle w:val="ListBullet"/>
      </w:pPr>
      <w:r>
        <w:t>Il 3 settembre ogni squadra riceve 25 crediti mercato dedicati all’Asta Smart post-asta.</w:t>
      </w:r>
    </w:p>
    <w:p>
      <w:pPr>
        <w:pStyle w:val="ListBullet"/>
      </w:pPr>
      <w:r>
        <w:t>Dopo la sessione post-asta vengono assegnati ulteriori 50 crediti mercato utilizzabili nelle successive finestre di mercato previste dal calendario.</w:t>
      </w:r>
    </w:p>
    <w:p>
      <w:pPr>
        <w:pStyle w:val="ListBullet"/>
      </w:pPr>
      <w:r>
        <w:t>I crediti non utilizzati al termine della stagione vengono persi e non generano rimborsi, bonus o vantaggi futuri.</w:t>
      </w:r>
    </w:p>
    <w:p>
      <w:pPr>
        <w:pStyle w:val="ListBullet"/>
      </w:pPr>
      <w:r>
        <w:t>Le operazioni di mercato non possono portare la rosa oltre il limite massimo di 26 calciatori.</w:t>
      </w:r>
    </w:p>
    <w:p>
      <w:pPr>
        <w:pStyle w:val="Heading2"/>
      </w:pPr>
      <w:r>
        <w:t>5.2 Finestre mercato e scambi</w:t>
      </w:r>
    </w:p>
    <w:tbl>
      <w:tblPr>
        <w:tblStyle w:val="TableGrid"/>
        <w:tblW w:type="auto" w:w="0"/>
        <w:jc w:val="center"/>
        <w:tblLook w:firstColumn="1" w:firstRow="1" w:lastColumn="0" w:lastRow="0" w:noHBand="0" w:noVBand="1" w:val="04A0"/>
      </w:tblPr>
      <w:tblGrid>
        <w:gridCol w:w="3485"/>
        <w:gridCol w:w="3485"/>
        <w:gridCol w:w="3485"/>
      </w:tblGrid>
      <w:tr>
        <w:tc>
          <w:tcPr>
            <w:tcW w:type="dxa" w:w="3485"/>
            <w:shd w:fill="1F2A44"/>
            <w:vAlign w:val="center"/>
            <w:tcBorders>
              <w:top w:sz="4" w:val="single" w:color="999999"/>
              <w:left w:sz="4" w:val="single" w:color="999999"/>
              <w:bottom w:sz="4" w:val="single" w:color="999999"/>
              <w:right w:sz="4" w:val="single" w:color="999999"/>
            </w:tcBorders>
          </w:tcPr>
          <w:p>
            <w:r>
              <w:rPr>
                <w:b/>
                <w:color w:val="FFFFFF"/>
                <w:sz w:val="16"/>
              </w:rPr>
              <w:t>Periodo</w:t>
            </w:r>
          </w:p>
        </w:tc>
        <w:tc>
          <w:tcPr>
            <w:tcW w:type="dxa" w:w="3485"/>
            <w:shd w:fill="1F2A44"/>
            <w:vAlign w:val="center"/>
            <w:tcBorders>
              <w:top w:sz="4" w:val="single" w:color="999999"/>
              <w:left w:sz="4" w:val="single" w:color="999999"/>
              <w:bottom w:sz="4" w:val="single" w:color="999999"/>
              <w:right w:sz="4" w:val="single" w:color="999999"/>
            </w:tcBorders>
          </w:tcPr>
          <w:p>
            <w:r>
              <w:rPr>
                <w:b/>
                <w:color w:val="FFFFFF"/>
                <w:sz w:val="16"/>
              </w:rPr>
              <w:t>Operazione consentita</w:t>
            </w:r>
          </w:p>
        </w:tc>
        <w:tc>
          <w:tcPr>
            <w:tcW w:type="dxa" w:w="3485"/>
            <w:shd w:fill="1F2A44"/>
            <w:vAlign w:val="center"/>
            <w:tcBorders>
              <w:top w:sz="4" w:val="single" w:color="999999"/>
              <w:left w:sz="4" w:val="single" w:color="999999"/>
              <w:bottom w:sz="4" w:val="single" w:color="999999"/>
              <w:right w:sz="4" w:val="single" w:color="999999"/>
            </w:tcBorders>
          </w:tcPr>
          <w:p>
            <w:r>
              <w:rPr>
                <w:b/>
                <w:color w:val="FFFFFF"/>
                <w:sz w:val="16"/>
              </w:rPr>
              <w:t>Note</w:t>
            </w:r>
          </w:p>
        </w:tc>
      </w:tr>
      <w:tr>
        <w:tc>
          <w:tcPr>
            <w:tcW w:type="dxa" w:w="3485"/>
            <w:vAlign w:val="top"/>
            <w:tcBorders>
              <w:top w:sz="4" w:val="single" w:color="999999"/>
              <w:left w:sz="4" w:val="single" w:color="999999"/>
              <w:bottom w:sz="4" w:val="single" w:color="999999"/>
              <w:right w:sz="4" w:val="single" w:color="999999"/>
            </w:tcBorders>
          </w:tcPr>
          <w:p>
            <w:r>
              <w:rPr>
                <w:sz w:val="16"/>
              </w:rPr>
              <w:t>3-4 settembre 2026</w:t>
            </w:r>
          </w:p>
        </w:tc>
        <w:tc>
          <w:tcPr>
            <w:tcW w:type="dxa" w:w="3485"/>
            <w:vAlign w:val="top"/>
            <w:tcBorders>
              <w:top w:sz="4" w:val="single" w:color="999999"/>
              <w:left w:sz="4" w:val="single" w:color="999999"/>
              <w:bottom w:sz="4" w:val="single" w:color="999999"/>
              <w:right w:sz="4" w:val="single" w:color="999999"/>
            </w:tcBorders>
          </w:tcPr>
          <w:p>
            <w:r>
              <w:rPr>
                <w:sz w:val="16"/>
              </w:rPr>
              <w:t>Asta Smart rilanci n. 1 post-asta + scambi</w:t>
            </w:r>
          </w:p>
        </w:tc>
        <w:tc>
          <w:tcPr>
            <w:tcW w:type="dxa" w:w="3485"/>
            <w:vAlign w:val="top"/>
            <w:tcBorders>
              <w:top w:sz="4" w:val="single" w:color="999999"/>
              <w:left w:sz="4" w:val="single" w:color="999999"/>
              <w:bottom w:sz="4" w:val="single" w:color="999999"/>
              <w:right w:sz="4" w:val="single" w:color="999999"/>
            </w:tcBorders>
          </w:tcPr>
          <w:p>
            <w:r>
              <w:rPr>
                <w:sz w:val="16"/>
              </w:rPr>
              <w:t>Asta Smart su Fantacalcio.it con rilanci stile eBay; utilizzo dei 25 crediti dedicati.</w:t>
            </w:r>
          </w:p>
        </w:tc>
      </w:tr>
      <w:tr>
        <w:tc>
          <w:tcPr>
            <w:tcW w:type="dxa" w:w="3485"/>
            <w:vAlign w:val="top"/>
            <w:tcBorders>
              <w:top w:sz="4" w:val="single" w:color="999999"/>
              <w:left w:sz="4" w:val="single" w:color="999999"/>
              <w:bottom w:sz="4" w:val="single" w:color="999999"/>
              <w:right w:sz="4" w:val="single" w:color="999999"/>
            </w:tcBorders>
          </w:tcPr>
          <w:p>
            <w:r>
              <w:rPr>
                <w:sz w:val="16"/>
              </w:rPr>
              <w:t>21/9-9/10/2026</w:t>
            </w:r>
          </w:p>
        </w:tc>
        <w:tc>
          <w:tcPr>
            <w:tcW w:type="dxa" w:w="3485"/>
            <w:vAlign w:val="top"/>
            <w:tcBorders>
              <w:top w:sz="4" w:val="single" w:color="999999"/>
              <w:left w:sz="4" w:val="single" w:color="999999"/>
              <w:bottom w:sz="4" w:val="single" w:color="999999"/>
              <w:right w:sz="4" w:val="single" w:color="999999"/>
            </w:tcBorders>
          </w:tcPr>
          <w:p>
            <w:r>
              <w:rPr>
                <w:sz w:val="16"/>
              </w:rPr>
              <w:t>Unica tornata di buste sperimentale + scambi</w:t>
            </w:r>
          </w:p>
        </w:tc>
        <w:tc>
          <w:tcPr>
            <w:tcW w:type="dxa" w:w="3485"/>
            <w:vAlign w:val="top"/>
            <w:tcBorders>
              <w:top w:sz="4" w:val="single" w:color="999999"/>
              <w:left w:sz="4" w:val="single" w:color="999999"/>
              <w:bottom w:sz="4" w:val="single" w:color="999999"/>
              <w:right w:sz="4" w:val="single" w:color="999999"/>
            </w:tcBorders>
          </w:tcPr>
          <w:p>
            <w:r>
              <w:rPr>
                <w:sz w:val="16"/>
              </w:rPr>
              <w:t>Durante la prima sosta nazionale, dopo F3. È l’unica sessione a buste prevista in partenza. Subito dopo si valuta se archiviarla definitivamente.</w:t>
            </w:r>
          </w:p>
        </w:tc>
      </w:tr>
      <w:tr>
        <w:tc>
          <w:tcPr>
            <w:tcW w:type="dxa" w:w="3485"/>
            <w:vAlign w:val="top"/>
            <w:tcBorders>
              <w:top w:sz="4" w:val="single" w:color="999999"/>
              <w:left w:sz="4" w:val="single" w:color="999999"/>
              <w:bottom w:sz="4" w:val="single" w:color="999999"/>
              <w:right w:sz="4" w:val="single" w:color="999999"/>
            </w:tcBorders>
          </w:tcPr>
          <w:p>
            <w:r>
              <w:rPr>
                <w:sz w:val="16"/>
              </w:rPr>
              <w:t>9/11-20/11/2026</w:t>
            </w:r>
          </w:p>
        </w:tc>
        <w:tc>
          <w:tcPr>
            <w:tcW w:type="dxa" w:w="3485"/>
            <w:vAlign w:val="top"/>
            <w:tcBorders>
              <w:top w:sz="4" w:val="single" w:color="999999"/>
              <w:left w:sz="4" w:val="single" w:color="999999"/>
              <w:bottom w:sz="4" w:val="single" w:color="999999"/>
              <w:right w:sz="4" w:val="single" w:color="999999"/>
            </w:tcBorders>
          </w:tcPr>
          <w:p>
            <w:r>
              <w:rPr>
                <w:sz w:val="16"/>
              </w:rPr>
              <w:t>Asta Smart rilanci n. 2 + scambi</w:t>
            </w:r>
          </w:p>
        </w:tc>
        <w:tc>
          <w:tcPr>
            <w:tcW w:type="dxa" w:w="3485"/>
            <w:vAlign w:val="top"/>
            <w:tcBorders>
              <w:top w:sz="4" w:val="single" w:color="999999"/>
              <w:left w:sz="4" w:val="single" w:color="999999"/>
              <w:bottom w:sz="4" w:val="single" w:color="999999"/>
              <w:right w:sz="4" w:val="single" w:color="999999"/>
            </w:tcBorders>
          </w:tcPr>
          <w:p>
            <w:r>
              <w:rPr>
                <w:sz w:val="16"/>
              </w:rPr>
              <w:t>Durante la seconda settimana della sosta nazionale di novembre.</w:t>
            </w:r>
          </w:p>
        </w:tc>
      </w:tr>
      <w:tr>
        <w:tc>
          <w:tcPr>
            <w:tcW w:type="dxa" w:w="3485"/>
            <w:vAlign w:val="top"/>
            <w:tcBorders>
              <w:top w:sz="4" w:val="single" w:color="999999"/>
              <w:left w:sz="4" w:val="single" w:color="999999"/>
              <w:bottom w:sz="4" w:val="single" w:color="999999"/>
              <w:right w:sz="4" w:val="single" w:color="999999"/>
            </w:tcBorders>
          </w:tcPr>
          <w:p>
            <w:r>
              <w:rPr>
                <w:sz w:val="16"/>
              </w:rPr>
              <w:t>Periodo Natale/Santo Stefano</w:t>
            </w:r>
          </w:p>
        </w:tc>
        <w:tc>
          <w:tcPr>
            <w:tcW w:type="dxa" w:w="3485"/>
            <w:vAlign w:val="top"/>
            <w:tcBorders>
              <w:top w:sz="4" w:val="single" w:color="999999"/>
              <w:left w:sz="4" w:val="single" w:color="999999"/>
              <w:bottom w:sz="4" w:val="single" w:color="999999"/>
              <w:right w:sz="4" w:val="single" w:color="999999"/>
            </w:tcBorders>
          </w:tcPr>
          <w:p>
            <w:r>
              <w:rPr>
                <w:sz w:val="16"/>
              </w:rPr>
              <w:t>Asta Smart rilanci n. 3</w:t>
            </w:r>
          </w:p>
        </w:tc>
        <w:tc>
          <w:tcPr>
            <w:tcW w:type="dxa" w:w="3485"/>
            <w:vAlign w:val="top"/>
            <w:tcBorders>
              <w:top w:sz="4" w:val="single" w:color="999999"/>
              <w:left w:sz="4" w:val="single" w:color="999999"/>
              <w:bottom w:sz="4" w:val="single" w:color="999999"/>
              <w:right w:sz="4" w:val="single" w:color="999999"/>
            </w:tcBorders>
          </w:tcPr>
          <w:p>
            <w:r>
              <w:rPr>
                <w:sz w:val="16"/>
              </w:rPr>
              <w:t>Finestra programmata tra Natale e S. Silvestro.</w:t>
            </w:r>
          </w:p>
        </w:tc>
      </w:tr>
      <w:tr>
        <w:tc>
          <w:tcPr>
            <w:tcW w:type="dxa" w:w="3485"/>
            <w:vAlign w:val="top"/>
            <w:tcBorders>
              <w:top w:sz="4" w:val="single" w:color="999999"/>
              <w:left w:sz="4" w:val="single" w:color="999999"/>
              <w:bottom w:sz="4" w:val="single" w:color="999999"/>
              <w:right w:sz="4" w:val="single" w:color="999999"/>
            </w:tcBorders>
          </w:tcPr>
          <w:p>
            <w:r>
              <w:rPr>
                <w:sz w:val="16"/>
              </w:rPr>
              <w:t>Gennaio 2027</w:t>
            </w:r>
          </w:p>
        </w:tc>
        <w:tc>
          <w:tcPr>
            <w:tcW w:type="dxa" w:w="3485"/>
            <w:vAlign w:val="top"/>
            <w:tcBorders>
              <w:top w:sz="4" w:val="single" w:color="999999"/>
              <w:left w:sz="4" w:val="single" w:color="999999"/>
              <w:bottom w:sz="4" w:val="single" w:color="999999"/>
              <w:right w:sz="4" w:val="single" w:color="999999"/>
            </w:tcBorders>
          </w:tcPr>
          <w:p>
            <w:r>
              <w:rPr>
                <w:sz w:val="16"/>
              </w:rPr>
              <w:t>Mercato sospeso</w:t>
            </w:r>
          </w:p>
        </w:tc>
        <w:tc>
          <w:tcPr>
            <w:tcW w:type="dxa" w:w="3485"/>
            <w:vAlign w:val="top"/>
            <w:tcBorders>
              <w:top w:sz="4" w:val="single" w:color="999999"/>
              <w:left w:sz="4" w:val="single" w:color="999999"/>
              <w:bottom w:sz="4" w:val="single" w:color="999999"/>
              <w:right w:sz="4" w:val="single" w:color="999999"/>
            </w:tcBorders>
          </w:tcPr>
          <w:p>
            <w:r>
              <w:rPr>
                <w:sz w:val="16"/>
              </w:rPr>
              <w:t>Nessuna busta e nessuna Asta Smart durante il mercato reale di gennaio; nuovi arrivi esteri bloccati fino all’Asta Smart di febbraio.</w:t>
            </w:r>
          </w:p>
        </w:tc>
      </w:tr>
      <w:tr>
        <w:tc>
          <w:tcPr>
            <w:tcW w:type="dxa" w:w="3485"/>
            <w:vAlign w:val="top"/>
            <w:tcBorders>
              <w:top w:sz="4" w:val="single" w:color="999999"/>
              <w:left w:sz="4" w:val="single" w:color="999999"/>
              <w:bottom w:sz="4" w:val="single" w:color="999999"/>
              <w:right w:sz="4" w:val="single" w:color="999999"/>
            </w:tcBorders>
          </w:tcPr>
          <w:p>
            <w:r>
              <w:rPr>
                <w:sz w:val="16"/>
              </w:rPr>
              <w:t>1/2-12/2/2027</w:t>
            </w:r>
          </w:p>
        </w:tc>
        <w:tc>
          <w:tcPr>
            <w:tcW w:type="dxa" w:w="3485"/>
            <w:vAlign w:val="top"/>
            <w:tcBorders>
              <w:top w:sz="4" w:val="single" w:color="999999"/>
              <w:left w:sz="4" w:val="single" w:color="999999"/>
              <w:bottom w:sz="4" w:val="single" w:color="999999"/>
              <w:right w:sz="4" w:val="single" w:color="999999"/>
            </w:tcBorders>
          </w:tcPr>
          <w:p>
            <w:r>
              <w:rPr>
                <w:sz w:val="16"/>
              </w:rPr>
              <w:t>Asta Smart rilanci n. 4 + scambi</w:t>
            </w:r>
          </w:p>
        </w:tc>
        <w:tc>
          <w:tcPr>
            <w:tcW w:type="dxa" w:w="3485"/>
            <w:vAlign w:val="top"/>
            <w:tcBorders>
              <w:top w:sz="4" w:val="single" w:color="999999"/>
              <w:left w:sz="4" w:val="single" w:color="999999"/>
              <w:bottom w:sz="4" w:val="single" w:color="999999"/>
              <w:right w:sz="4" w:val="single" w:color="999999"/>
            </w:tcBorders>
          </w:tcPr>
          <w:p>
            <w:r>
              <w:t>Dopo la chiusura del mercato reale di Serie A; dedicata a nuovi arrivi e svincolati disponibili. Se le condizioni organizzative lo permettono e sono disponibili almeno 10 presenti su 14, la sessione potrà essere valutata anche in presenza; decisione nelle settimane precedenti.</w:t>
            </w:r>
          </w:p>
        </w:tc>
      </w:tr>
      <w:tr>
        <w:tc>
          <w:tcPr>
            <w:tcW w:type="dxa" w:w="3485"/>
            <w:vAlign w:val="top"/>
            <w:tcBorders>
              <w:top w:sz="4" w:val="single" w:color="999999"/>
              <w:left w:sz="4" w:val="single" w:color="999999"/>
              <w:bottom w:sz="4" w:val="single" w:color="999999"/>
              <w:right w:sz="4" w:val="single" w:color="999999"/>
            </w:tcBorders>
          </w:tcPr>
          <w:p>
            <w:r>
              <w:rPr>
                <w:sz w:val="16"/>
              </w:rPr>
              <w:t>14/3-21/3/2027</w:t>
            </w:r>
          </w:p>
        </w:tc>
        <w:tc>
          <w:tcPr>
            <w:tcW w:type="dxa" w:w="3485"/>
            <w:vAlign w:val="top"/>
            <w:tcBorders>
              <w:top w:sz="4" w:val="single" w:color="999999"/>
              <w:left w:sz="4" w:val="single" w:color="999999"/>
              <w:bottom w:sz="4" w:val="single" w:color="999999"/>
              <w:right w:sz="4" w:val="single" w:color="999999"/>
            </w:tcBorders>
          </w:tcPr>
          <w:p>
            <w:r>
              <w:rPr>
                <w:sz w:val="16"/>
              </w:rPr>
              <w:t>Asta Smart rilanci n. 5</w:t>
            </w:r>
          </w:p>
        </w:tc>
        <w:tc>
          <w:tcPr>
            <w:tcW w:type="dxa" w:w="3485"/>
            <w:vAlign w:val="top"/>
            <w:tcBorders>
              <w:top w:sz="4" w:val="single" w:color="999999"/>
              <w:left w:sz="4" w:val="single" w:color="999999"/>
              <w:bottom w:sz="4" w:val="single" w:color="999999"/>
              <w:right w:sz="4" w:val="single" w:color="999999"/>
            </w:tcBorders>
          </w:tcPr>
          <w:p>
            <w:r>
              <w:rPr>
                <w:sz w:val="16"/>
              </w:rPr>
              <w:t>Finestra di metà marzo prima della fase finale/Poule Scudetto; niente scambi.</w:t>
            </w:r>
          </w:p>
        </w:tc>
      </w:tr>
    </w:tbl>
    <w:p>
      <w:pPr>
        <w:pStyle w:val="Heading2"/>
      </w:pPr>
      <w:r>
        <w:t>5.3 Unica tornata di buste sperimentale</w:t>
      </w:r>
    </w:p>
    <w:p>
      <w:pPr>
        <w:pStyle w:val="ListBullet"/>
      </w:pPr>
      <w:r>
        <w:t>Il mercato ordinario non è a buste periodiche. È prevista soltanto una tornata iniziale di buste, a titolo sperimentale, durante la prima sosta nazionale.</w:t>
      </w:r>
    </w:p>
    <w:p>
      <w:pPr>
        <w:pStyle w:val="ListBullet"/>
      </w:pPr>
      <w:r>
        <w:t>La tornata sperimentale serve a testare una modalità semplice per interventi di emergenza senza introdurre un mercato live continuo.</w:t>
      </w:r>
    </w:p>
    <w:p>
      <w:pPr>
        <w:pStyle w:val="ListBullet"/>
      </w:pPr>
      <w:r>
        <w:t>Dopo la tornata sperimentale, il gruppo può decidere se archiviare definitivamente le buste e proseguire solo con Aste Smart a rilanci programmate.</w:t>
      </w:r>
    </w:p>
    <w:p>
      <w:pPr>
        <w:pStyle w:val="ListBullet"/>
      </w:pPr>
      <w:r>
        <w:t>Se la tornata buste viene svolta, ogni squadra può effettuare al massimo 2 acquisti complessivi nella sessione, salvo diversa impostazione comunicata prima dell’apertura.</w:t>
      </w:r>
    </w:p>
    <w:p>
      <w:pPr>
        <w:pStyle w:val="ListBullet"/>
      </w:pPr>
      <w:r>
        <w:t>Gli acquisti utilizzano solo i crediti mercato residui e devono rispettare il limite massimo di 26 calciatori.</w:t>
      </w:r>
    </w:p>
    <w:p>
      <w:pPr>
        <w:pStyle w:val="ListBullet"/>
      </w:pPr>
      <w:r>
        <w:t>Nell’unica tornata a buste sperimentale, lo svincolo recupera il 50% del costo pagato, arrotondato per eccesso, come nelle Aste Smart a rilanci.</w:t>
      </w:r>
    </w:p>
    <w:p>
      <w:pPr>
        <w:pStyle w:val="ListBullet"/>
      </w:pPr>
      <w:r>
        <w:t>Le buste non sono una sessione di rilanci live e non prevedono trattativa pubblica; vince l’offerta secondo le regole della piattaforma.</w:t>
      </w:r>
    </w:p>
    <w:p>
      <w:pPr>
        <w:pStyle w:val="Heading2"/>
      </w:pPr>
      <w:r>
        <w:t>5.4 Aste Smart a rilanci e recupero svincoli</w:t>
      </w:r>
    </w:p>
    <w:p>
      <w:pPr>
        <w:pStyle w:val="ListBullet"/>
      </w:pPr>
      <w:r>
        <w:t>Le Aste Smart a rilanci programmate sono cinque: post-asta, novembre, periodo natalizio, febbraio e metà marzo.</w:t>
      </w:r>
    </w:p>
    <w:p>
      <w:pPr>
        <w:pStyle w:val="ListBullet"/>
      </w:pPr>
      <w:r>
        <w:t>Nelle Aste Smart gli svincoli recuperano il 50% del costo pagato all’asta, arrotondato per eccesso.</w:t>
      </w:r>
    </w:p>
    <w:p>
      <w:pPr>
        <w:pStyle w:val="ListBullet"/>
      </w:pPr>
      <w:r>
        <w:t>Esempi: calciatore pagato 9 crediti, recupero 5; pagato 10, recupero 5; pagato 1, recupero 1.</w:t>
      </w:r>
    </w:p>
    <w:p>
      <w:pPr>
        <w:pStyle w:val="ListBullet"/>
      </w:pPr>
      <w:r>
        <w:t>Lo stesso criterio del 50% arrotondato per eccesso si applica all’unica tornata buste sperimentale iniziale.</w:t>
      </w:r>
    </w:p>
    <w:p>
      <w:pPr>
        <w:pStyle w:val="ListBullet"/>
      </w:pPr>
      <w:r>
        <w:t>Le Aste Smart seguono le impostazioni tecniche della piattaforma: durata, rilanci, eventuale time shift e criteri di aggiudicazione devono essere comunicati prima dell’apertura della finestra.</w:t>
      </w:r>
    </w:p>
    <w:p>
      <w:pPr>
        <w:pStyle w:val="Heading2"/>
      </w:pPr>
      <w:r>
        <w:t>5.5 Nuovi tesserati durante la stagione</w:t>
      </w:r>
    </w:p>
    <w:p>
      <w:pPr>
        <w:pStyle w:val="ListBullet"/>
      </w:pPr>
      <w:r>
        <w:t>Se durante la stagione una squadra di Serie A tessera un calciatore svincolato, quel calciatore può essere acquistato solo nella prima finestra di mercato utile compatibile con il regolamento e con il suo listaggio effettivo.</w:t>
      </w:r>
    </w:p>
    <w:p>
      <w:pPr>
        <w:pStyle w:val="ListBullet"/>
      </w:pPr>
      <w:r>
        <w:t>Lo scopo è evitare vantaggi da controllo ossessivo del listone o da inserimenti improvvisi non conoscibili da tutti.</w:t>
      </w:r>
    </w:p>
    <w:p>
      <w:pPr>
        <w:pStyle w:val="ListBullet"/>
      </w:pPr>
      <w:r>
        <w:t>La regola vale a prescindere dal ruolo e dalla fama del calciatore.</w:t>
      </w:r>
    </w:p>
    <w:p>
      <w:pPr>
        <w:pStyle w:val="ListBullet"/>
      </w:pPr>
      <w:r>
        <w:t>Se il calciatore viene listato a ridosso di una finestra, l’organizzazione può rinviarne l’acquistabilità alla finestra successiva per garantire parità informativa.</w:t>
      </w:r>
    </w:p>
    <w:p>
      <w:pPr>
        <w:pStyle w:val="Heading2"/>
      </w:pPr>
      <w:r>
        <w:t>5.6 Nuovi arrivi del mercato invernale</w:t>
      </w:r>
    </w:p>
    <w:p>
      <w:pPr>
        <w:pStyle w:val="ListBullet"/>
      </w:pPr>
      <w:r>
        <w:t>Dal 1° gennaio fino alla chiusura del mercato reale di Serie A il mercato SFN è sospeso.</w:t>
      </w:r>
    </w:p>
    <w:p>
      <w:pPr>
        <w:pStyle w:val="ListBullet"/>
      </w:pPr>
      <w:r>
        <w:t>I calciatori tesserati da club di Serie A e provenienti da altri campionati non possono essere acquistati durante gennaio.</w:t>
      </w:r>
    </w:p>
    <w:p>
      <w:pPr>
        <w:pStyle w:val="ListBullet"/>
      </w:pPr>
      <w:r>
        <w:t>Tali calciatori saranno acquistabili soltanto nella sessione di Asta Smart di febbraio, dopo la chiusura del mercato reale di Serie A.</w:t>
      </w:r>
    </w:p>
    <w:p>
      <w:pPr>
        <w:pStyle w:val="ListBullet"/>
      </w:pPr>
      <w:r>
        <w:t>Per l’Asta Smart di febbraio, prevista subito dopo la chiusura del calciomercato reale di Serie A, se le condizioni organizzative lo permettono e se vi è una partecipazione sufficientemente ampia, pari ad almeno 10 presenti su 14, il gruppo potrà valutare di svolgere la sessione anche in presenza. La decisione sarà presa nelle settimane immediatamente precedenti la finestra dell’asta; in assenza di condizioni adeguate, la sessione resterà online sulla piattaforma.</w:t>
      </w:r>
    </w:p>
    <w:p>
      <w:pPr>
        <w:pStyle w:val="ListBullet"/>
      </w:pPr>
      <w:r>
        <w:t>Se una squadra di Serie A vende un calciatore all’estero e lo rimpiazza con un nuovo calciatore proveniente da un campionato estero, il sostituto confluisce nell’Asta Smart di febbraio.</w:t>
      </w:r>
    </w:p>
    <w:p>
      <w:pPr>
        <w:pStyle w:val="ListBullet"/>
      </w:pPr>
      <w:r>
        <w:t>Se il sostituto arriva da un’altra squadra di Serie A ed era già presente nel listone, non è nuovo arrivo dall’estero e resta soggetto alle regole ordinarie degli svincolati, se libero.</w:t>
      </w:r>
    </w:p>
    <w:p>
      <w:pPr>
        <w:pStyle w:val="Heading2"/>
      </w:pPr>
      <w:r>
        <w:t>5.7 Scambi</w:t>
      </w:r>
    </w:p>
    <w:p>
      <w:pPr>
        <w:pStyle w:val="ListBullet"/>
      </w:pPr>
      <w:r>
        <w:t>Gli scambi sono consentiti soltanto nelle finestre ufficiali indicate dal calendario.</w:t>
      </w:r>
    </w:p>
    <w:p>
      <w:pPr>
        <w:pStyle w:val="ListBullet"/>
      </w:pPr>
      <w:r>
        <w:t>Le finestre scambi sono: 3-4 settembre 2026, 21/9-9/10/2026, 9/11-20/11/2026 e 1/2-12/2/2027.</w:t>
      </w:r>
    </w:p>
    <w:p>
      <w:pPr>
        <w:pStyle w:val="ListBullet"/>
      </w:pPr>
      <w:r>
        <w:t>Non sono previsti scambi a marzo.</w:t>
      </w:r>
    </w:p>
    <w:p>
      <w:pPr>
        <w:pStyle w:val="ListBullet"/>
      </w:pPr>
      <w:r>
        <w:t>Gli scambi devono rispettare il limite massimo di rosa e le impostazioni della piattaforma.</w:t>
      </w:r>
    </w:p>
    <w:p>
      <w:pPr>
        <w:pStyle w:val="Heading2"/>
      </w:pPr>
      <w:r>
        <w:t>5.8 Divieti e abusi di mercato</w:t>
      </w:r>
    </w:p>
    <w:p>
      <w:pPr>
        <w:pStyle w:val="ListBullet"/>
      </w:pPr>
      <w:r>
        <w:t>Sono vietati accordi occulti, prestiti mascherati, scambi ponte o operazioni finalizzate ad aggirare le finestre di mercato.</w:t>
      </w:r>
    </w:p>
    <w:p>
      <w:pPr>
        <w:pStyle w:val="ListBullet"/>
      </w:pPr>
      <w:r>
        <w:t>Sono vietati scambi con obbligo di restituzione futura del calciatore o dei crediti, salvo regole espresse approvate prima dell’asta.</w:t>
      </w:r>
    </w:p>
    <w:p>
      <w:pPr>
        <w:pStyle w:val="ListBullet"/>
      </w:pPr>
      <w:r>
        <w:t>Uno scambio palesemente squilibrato può essere sottoposto a verifica se appare strumentale, collusivo o contrario alla regolarità della competizione.</w:t>
      </w:r>
    </w:p>
    <w:p>
      <w:pPr>
        <w:pStyle w:val="ListBullet"/>
      </w:pPr>
      <w:r>
        <w:t>La valutazione di uno scambio non può basarsi solo sull’opinione tecnica dei partecipanti: serve un sospetto concreto di abuso o aggiramento delle regole.</w:t>
      </w:r>
    </w:p>
    <w:p>
      <w:pPr>
        <w:pStyle w:val="Heading1"/>
      </w:pPr>
      <w:r>
        <w:t>6. Calendario e competizioni SFN14</w:t>
      </w:r>
    </w:p>
    <w:tbl>
      <w:tblPr>
        <w:tblStyle w:val="TableGrid"/>
        <w:tblW w:type="auto" w:w="0"/>
        <w:jc w:val="center"/>
        <w:tblLook w:firstColumn="1" w:firstRow="1" w:lastColumn="0" w:lastRow="0" w:noHBand="0" w:noVBand="1" w:val="04A0"/>
      </w:tblPr>
      <w:tblGrid>
        <w:gridCol w:w="3485"/>
        <w:gridCol w:w="3485"/>
        <w:gridCol w:w="3485"/>
      </w:tblGrid>
      <w:tr>
        <w:tc>
          <w:tcPr>
            <w:tcW w:type="dxa" w:w="3485"/>
            <w:shd w:fill="1F2A44"/>
            <w:vAlign w:val="center"/>
            <w:tcBorders>
              <w:top w:sz="4" w:val="single" w:color="999999"/>
              <w:left w:sz="4" w:val="single" w:color="999999"/>
              <w:bottom w:sz="4" w:val="single" w:color="999999"/>
              <w:right w:sz="4" w:val="single" w:color="999999"/>
            </w:tcBorders>
          </w:tcPr>
          <w:p>
            <w:r>
              <w:rPr>
                <w:b/>
                <w:color w:val="FFFFFF"/>
                <w:sz w:val="16"/>
              </w:rPr>
              <w:t>Competizione</w:t>
            </w:r>
          </w:p>
        </w:tc>
        <w:tc>
          <w:tcPr>
            <w:tcW w:type="dxa" w:w="3485"/>
            <w:shd w:fill="1F2A44"/>
            <w:vAlign w:val="center"/>
            <w:tcBorders>
              <w:top w:sz="4" w:val="single" w:color="999999"/>
              <w:left w:sz="4" w:val="single" w:color="999999"/>
              <w:bottom w:sz="4" w:val="single" w:color="999999"/>
              <w:right w:sz="4" w:val="single" w:color="999999"/>
            </w:tcBorders>
          </w:tcPr>
          <w:p>
            <w:r>
              <w:rPr>
                <w:b/>
                <w:color w:val="FFFFFF"/>
                <w:sz w:val="16"/>
              </w:rPr>
              <w:t>Periodo</w:t>
            </w:r>
          </w:p>
        </w:tc>
        <w:tc>
          <w:tcPr>
            <w:tcW w:type="dxa" w:w="3485"/>
            <w:shd w:fill="1F2A44"/>
            <w:vAlign w:val="center"/>
            <w:tcBorders>
              <w:top w:sz="4" w:val="single" w:color="999999"/>
              <w:left w:sz="4" w:val="single" w:color="999999"/>
              <w:bottom w:sz="4" w:val="single" w:color="999999"/>
              <w:right w:sz="4" w:val="single" w:color="999999"/>
            </w:tcBorders>
          </w:tcPr>
          <w:p>
            <w:r>
              <w:rPr>
                <w:b/>
                <w:color w:val="FFFFFF"/>
                <w:sz w:val="16"/>
              </w:rPr>
              <w:t>Formula</w:t>
            </w:r>
          </w:p>
        </w:tc>
      </w:tr>
      <w:tr>
        <w:tc>
          <w:tcPr>
            <w:tcW w:type="dxa" w:w="3485"/>
            <w:vAlign w:val="top"/>
            <w:tcBorders>
              <w:top w:sz="4" w:val="single" w:color="999999"/>
              <w:left w:sz="4" w:val="single" w:color="999999"/>
              <w:bottom w:sz="4" w:val="single" w:color="999999"/>
              <w:right w:sz="4" w:val="single" w:color="999999"/>
            </w:tcBorders>
          </w:tcPr>
          <w:p>
            <w:r>
              <w:rPr>
                <w:sz w:val="16"/>
              </w:rPr>
              <w:t>Regular Season</w:t>
            </w:r>
          </w:p>
        </w:tc>
        <w:tc>
          <w:tcPr>
            <w:tcW w:type="dxa" w:w="3485"/>
            <w:vAlign w:val="top"/>
            <w:tcBorders>
              <w:top w:sz="4" w:val="single" w:color="999999"/>
              <w:left w:sz="4" w:val="single" w:color="999999"/>
              <w:bottom w:sz="4" w:val="single" w:color="999999"/>
              <w:right w:sz="4" w:val="single" w:color="999999"/>
            </w:tcBorders>
          </w:tcPr>
          <w:p>
            <w:r>
              <w:rPr>
                <w:sz w:val="16"/>
              </w:rPr>
              <w:t>F1-F26</w:t>
            </w:r>
          </w:p>
        </w:tc>
        <w:tc>
          <w:tcPr>
            <w:tcW w:type="dxa" w:w="3485"/>
            <w:vAlign w:val="top"/>
            <w:tcBorders>
              <w:top w:sz="4" w:val="single" w:color="999999"/>
              <w:left w:sz="4" w:val="single" w:color="999999"/>
              <w:bottom w:sz="4" w:val="single" w:color="999999"/>
              <w:right w:sz="4" w:val="single" w:color="999999"/>
            </w:tcBorders>
          </w:tcPr>
          <w:p>
            <w:r>
              <w:rPr>
                <w:sz w:val="16"/>
              </w:rPr>
              <w:t>14 squadre, tutti contro tutti andata/ritorno, 26 giornate.</w:t>
            </w:r>
          </w:p>
        </w:tc>
      </w:tr>
      <w:tr>
        <w:tc>
          <w:tcPr>
            <w:tcW w:type="dxa" w:w="3485"/>
            <w:vAlign w:val="top"/>
            <w:tcBorders>
              <w:top w:sz="4" w:val="single" w:color="999999"/>
              <w:left w:sz="4" w:val="single" w:color="999999"/>
              <w:bottom w:sz="4" w:val="single" w:color="999999"/>
              <w:right w:sz="4" w:val="single" w:color="999999"/>
            </w:tcBorders>
          </w:tcPr>
          <w:p>
            <w:r>
              <w:rPr>
                <w:sz w:val="16"/>
              </w:rPr>
              <w:t>Girone Ranking Europeo</w:t>
            </w:r>
          </w:p>
        </w:tc>
        <w:tc>
          <w:tcPr>
            <w:tcW w:type="dxa" w:w="3485"/>
            <w:vAlign w:val="top"/>
            <w:tcBorders>
              <w:top w:sz="4" w:val="single" w:color="999999"/>
              <w:left w:sz="4" w:val="single" w:color="999999"/>
              <w:bottom w:sz="4" w:val="single" w:color="999999"/>
              <w:right w:sz="4" w:val="single" w:color="999999"/>
            </w:tcBorders>
          </w:tcPr>
          <w:p>
            <w:r>
              <w:rPr>
                <w:sz w:val="16"/>
              </w:rPr>
              <w:t>G1-G27 / F1-F27</w:t>
            </w:r>
          </w:p>
        </w:tc>
        <w:tc>
          <w:tcPr>
            <w:tcW w:type="dxa" w:w="3485"/>
            <w:vAlign w:val="top"/>
            <w:tcBorders>
              <w:top w:sz="4" w:val="single" w:color="999999"/>
              <w:left w:sz="4" w:val="single" w:color="999999"/>
              <w:bottom w:sz="4" w:val="single" w:color="999999"/>
              <w:right w:sz="4" w:val="single" w:color="999999"/>
            </w:tcBorders>
          </w:tcPr>
          <w:p>
            <w:r>
              <w:rPr>
                <w:sz w:val="16"/>
              </w:rPr>
              <w:t>Ranking annuale su parametri stabiliti; determina Champions ed Europa League dopo la chiusura della Highlander.</w:t>
            </w:r>
          </w:p>
        </w:tc>
      </w:tr>
      <w:tr>
        <w:tc>
          <w:tcPr>
            <w:tcW w:type="dxa" w:w="3485"/>
            <w:vAlign w:val="top"/>
            <w:tcBorders>
              <w:top w:sz="4" w:val="single" w:color="999999"/>
              <w:left w:sz="4" w:val="single" w:color="999999"/>
              <w:bottom w:sz="4" w:val="single" w:color="999999"/>
              <w:right w:sz="4" w:val="single" w:color="999999"/>
            </w:tcBorders>
          </w:tcPr>
          <w:p>
            <w:r>
              <w:rPr>
                <w:sz w:val="16"/>
              </w:rPr>
              <w:t>Battle Royale unica complessiva</w:t>
            </w:r>
          </w:p>
        </w:tc>
        <w:tc>
          <w:tcPr>
            <w:tcW w:type="dxa" w:w="3485"/>
            <w:vAlign w:val="top"/>
            <w:tcBorders>
              <w:top w:sz="4" w:val="single" w:color="999999"/>
              <w:left w:sz="4" w:val="single" w:color="999999"/>
              <w:bottom w:sz="4" w:val="single" w:color="999999"/>
              <w:right w:sz="4" w:val="single" w:color="999999"/>
            </w:tcBorders>
          </w:tcPr>
          <w:p>
            <w:r>
              <w:rPr>
                <w:sz w:val="16"/>
              </w:rPr>
              <w:t>F1-F34</w:t>
            </w:r>
          </w:p>
        </w:tc>
        <w:tc>
          <w:tcPr>
            <w:tcW w:type="dxa" w:w="3485"/>
            <w:vAlign w:val="top"/>
            <w:tcBorders>
              <w:top w:sz="4" w:val="single" w:color="999999"/>
              <w:left w:sz="4" w:val="single" w:color="999999"/>
              <w:bottom w:sz="4" w:val="single" w:color="999999"/>
              <w:right w:sz="4" w:val="single" w:color="999999"/>
            </w:tcBorders>
          </w:tcPr>
          <w:p>
            <w:r>
              <w:rPr>
                <w:sz w:val="16"/>
              </w:rPr>
              <w:t>Tutti contro tutti ogni giornata, classifica di rendimento complessivo.</w:t>
            </w:r>
          </w:p>
        </w:tc>
      </w:tr>
      <w:tr>
        <w:tc>
          <w:tcPr>
            <w:tcW w:type="dxa" w:w="3485"/>
            <w:vAlign w:val="top"/>
            <w:tcBorders>
              <w:top w:sz="4" w:val="single" w:color="999999"/>
              <w:left w:sz="4" w:val="single" w:color="999999"/>
              <w:bottom w:sz="4" w:val="single" w:color="999999"/>
              <w:right w:sz="4" w:val="single" w:color="999999"/>
            </w:tcBorders>
          </w:tcPr>
          <w:p>
            <w:r>
              <w:rPr>
                <w:sz w:val="16"/>
              </w:rPr>
              <w:t>Coppa Italia</w:t>
            </w:r>
          </w:p>
        </w:tc>
        <w:tc>
          <w:tcPr>
            <w:tcW w:type="dxa" w:w="3485"/>
            <w:vAlign w:val="top"/>
            <w:tcBorders>
              <w:top w:sz="4" w:val="single" w:color="999999"/>
              <w:left w:sz="4" w:val="single" w:color="999999"/>
              <w:bottom w:sz="4" w:val="single" w:color="999999"/>
              <w:right w:sz="4" w:val="single" w:color="999999"/>
            </w:tcBorders>
          </w:tcPr>
          <w:p>
            <w:r>
              <w:rPr>
                <w:sz w:val="16"/>
              </w:rPr>
              <w:t>F4-F26</w:t>
            </w:r>
          </w:p>
        </w:tc>
        <w:tc>
          <w:tcPr>
            <w:tcW w:type="dxa" w:w="3485"/>
            <w:vAlign w:val="top"/>
            <w:tcBorders>
              <w:top w:sz="4" w:val="single" w:color="999999"/>
              <w:left w:sz="4" w:val="single" w:color="999999"/>
              <w:bottom w:sz="4" w:val="single" w:color="999999"/>
              <w:right w:sz="4" w:val="single" w:color="999999"/>
            </w:tcBorders>
          </w:tcPr>
          <w:p>
            <w:r>
              <w:rPr>
                <w:sz w:val="16"/>
              </w:rPr>
              <w:t>2 gironi random da 7; andata/ritorno; quarti A/R, semifinali A/R, finale secca.</w:t>
            </w:r>
          </w:p>
        </w:tc>
      </w:tr>
      <w:tr>
        <w:tc>
          <w:tcPr>
            <w:tcW w:type="dxa" w:w="3485"/>
            <w:vAlign w:val="top"/>
            <w:tcBorders>
              <w:top w:sz="4" w:val="single" w:color="999999"/>
              <w:left w:sz="4" w:val="single" w:color="999999"/>
              <w:bottom w:sz="4" w:val="single" w:color="999999"/>
              <w:right w:sz="4" w:val="single" w:color="999999"/>
            </w:tcBorders>
          </w:tcPr>
          <w:p>
            <w:r>
              <w:rPr>
                <w:sz w:val="16"/>
              </w:rPr>
              <w:t>Highlander Cup</w:t>
            </w:r>
          </w:p>
        </w:tc>
        <w:tc>
          <w:tcPr>
            <w:tcW w:type="dxa" w:w="3485"/>
            <w:vAlign w:val="top"/>
            <w:tcBorders>
              <w:top w:sz="4" w:val="single" w:color="999999"/>
              <w:left w:sz="4" w:val="single" w:color="999999"/>
              <w:bottom w:sz="4" w:val="single" w:color="999999"/>
              <w:right w:sz="4" w:val="single" w:color="999999"/>
            </w:tcBorders>
          </w:tcPr>
          <w:p>
            <w:r>
              <w:rPr>
                <w:sz w:val="16"/>
              </w:rPr>
              <w:t>F15-F27</w:t>
            </w:r>
          </w:p>
        </w:tc>
        <w:tc>
          <w:tcPr>
            <w:tcW w:type="dxa" w:w="3485"/>
            <w:vAlign w:val="top"/>
            <w:tcBorders>
              <w:top w:sz="4" w:val="single" w:color="999999"/>
              <w:left w:sz="4" w:val="single" w:color="999999"/>
              <w:bottom w:sz="4" w:val="single" w:color="999999"/>
              <w:right w:sz="4" w:val="single" w:color="999999"/>
            </w:tcBorders>
          </w:tcPr>
          <w:p>
            <w:r>
              <w:rPr>
                <w:sz w:val="16"/>
              </w:rPr>
              <w:t>Eliminazione progressiva del peggior punteggio di giornata.</w:t>
            </w:r>
          </w:p>
        </w:tc>
      </w:tr>
      <w:tr>
        <w:tc>
          <w:tcPr>
            <w:tcW w:type="dxa" w:w="3485"/>
            <w:vAlign w:val="top"/>
            <w:tcBorders>
              <w:top w:sz="4" w:val="single" w:color="999999"/>
              <w:left w:sz="4" w:val="single" w:color="999999"/>
              <w:bottom w:sz="4" w:val="single" w:color="999999"/>
              <w:right w:sz="4" w:val="single" w:color="999999"/>
            </w:tcBorders>
          </w:tcPr>
          <w:p>
            <w:r>
              <w:rPr>
                <w:sz w:val="16"/>
              </w:rPr>
              <w:t>Poule Scudetto / SFN League</w:t>
            </w:r>
          </w:p>
        </w:tc>
        <w:tc>
          <w:tcPr>
            <w:tcW w:type="dxa" w:w="3485"/>
            <w:vAlign w:val="top"/>
            <w:tcBorders>
              <w:top w:sz="4" w:val="single" w:color="999999"/>
              <w:left w:sz="4" w:val="single" w:color="999999"/>
              <w:bottom w:sz="4" w:val="single" w:color="999999"/>
              <w:right w:sz="4" w:val="single" w:color="999999"/>
            </w:tcBorders>
          </w:tcPr>
          <w:p>
            <w:r>
              <w:rPr>
                <w:sz w:val="16"/>
              </w:rPr>
              <w:t>F27-F33</w:t>
            </w:r>
          </w:p>
        </w:tc>
        <w:tc>
          <w:tcPr>
            <w:tcW w:type="dxa" w:w="3485"/>
            <w:vAlign w:val="top"/>
            <w:tcBorders>
              <w:top w:sz="4" w:val="single" w:color="999999"/>
              <w:left w:sz="4" w:val="single" w:color="999999"/>
              <w:bottom w:sz="4" w:val="single" w:color="999999"/>
              <w:right w:sz="4" w:val="single" w:color="999999"/>
            </w:tcBorders>
          </w:tcPr>
          <w:p>
            <w:r>
              <w:rPr>
                <w:sz w:val="16"/>
              </w:rPr>
              <w:t>Prime 8 Regular, girone unico da 8, 7 giornate.</w:t>
            </w:r>
          </w:p>
        </w:tc>
      </w:tr>
      <w:tr>
        <w:tc>
          <w:tcPr>
            <w:tcW w:type="dxa" w:w="3485"/>
            <w:vAlign w:val="top"/>
            <w:tcBorders>
              <w:top w:sz="4" w:val="single" w:color="999999"/>
              <w:left w:sz="4" w:val="single" w:color="999999"/>
              <w:bottom w:sz="4" w:val="single" w:color="999999"/>
              <w:right w:sz="4" w:val="single" w:color="999999"/>
            </w:tcBorders>
          </w:tcPr>
          <w:p>
            <w:r>
              <w:rPr>
                <w:sz w:val="16"/>
              </w:rPr>
              <w:t>Coppa dei Disperati</w:t>
            </w:r>
          </w:p>
        </w:tc>
        <w:tc>
          <w:tcPr>
            <w:tcW w:type="dxa" w:w="3485"/>
            <w:vAlign w:val="top"/>
            <w:tcBorders>
              <w:top w:sz="4" w:val="single" w:color="999999"/>
              <w:left w:sz="4" w:val="single" w:color="999999"/>
              <w:bottom w:sz="4" w:val="single" w:color="999999"/>
              <w:right w:sz="4" w:val="single" w:color="999999"/>
            </w:tcBorders>
          </w:tcPr>
          <w:p>
            <w:r>
              <w:rPr>
                <w:sz w:val="16"/>
              </w:rPr>
              <w:t>F27-F33</w:t>
            </w:r>
          </w:p>
        </w:tc>
        <w:tc>
          <w:tcPr>
            <w:tcW w:type="dxa" w:w="3485"/>
            <w:vAlign w:val="top"/>
            <w:tcBorders>
              <w:top w:sz="4" w:val="single" w:color="999999"/>
              <w:left w:sz="4" w:val="single" w:color="999999"/>
              <w:bottom w:sz="4" w:val="single" w:color="999999"/>
              <w:right w:sz="4" w:val="single" w:color="999999"/>
            </w:tcBorders>
          </w:tcPr>
          <w:p>
            <w:r>
              <w:rPr>
                <w:sz w:val="16"/>
              </w:rPr>
              <w:t>Ultime 6 Regular, girone F27-F31, finale A/R F32-F33.</w:t>
            </w:r>
          </w:p>
        </w:tc>
      </w:tr>
      <w:tr>
        <w:tc>
          <w:tcPr>
            <w:tcW w:type="dxa" w:w="3485"/>
            <w:vAlign w:val="top"/>
            <w:tcBorders>
              <w:top w:sz="4" w:val="single" w:color="999999"/>
              <w:left w:sz="4" w:val="single" w:color="999999"/>
              <w:bottom w:sz="4" w:val="single" w:color="999999"/>
              <w:right w:sz="4" w:val="single" w:color="999999"/>
            </w:tcBorders>
          </w:tcPr>
          <w:p>
            <w:r>
              <w:rPr>
                <w:sz w:val="16"/>
              </w:rPr>
              <w:t>Champions League</w:t>
            </w:r>
          </w:p>
        </w:tc>
        <w:tc>
          <w:tcPr>
            <w:tcW w:type="dxa" w:w="3485"/>
            <w:vAlign w:val="top"/>
            <w:tcBorders>
              <w:top w:sz="4" w:val="single" w:color="999999"/>
              <w:left w:sz="4" w:val="single" w:color="999999"/>
              <w:bottom w:sz="4" w:val="single" w:color="999999"/>
              <w:right w:sz="4" w:val="single" w:color="999999"/>
            </w:tcBorders>
          </w:tcPr>
          <w:p>
            <w:r>
              <w:rPr>
                <w:sz w:val="16"/>
              </w:rPr>
              <w:t>F28-F33</w:t>
            </w:r>
          </w:p>
        </w:tc>
        <w:tc>
          <w:tcPr>
            <w:tcW w:type="dxa" w:w="3485"/>
            <w:vAlign w:val="top"/>
            <w:tcBorders>
              <w:top w:sz="4" w:val="single" w:color="999999"/>
              <w:left w:sz="4" w:val="single" w:color="999999"/>
              <w:bottom w:sz="4" w:val="single" w:color="999999"/>
              <w:right w:sz="4" w:val="single" w:color="999999"/>
            </w:tcBorders>
          </w:tcPr>
          <w:p>
            <w:r>
              <w:rPr>
                <w:sz w:val="16"/>
              </w:rPr>
              <w:t>Prime 8 Ranking, quarti A/R F28-F29, semifinali A/R F30-F31, finale A/R F32-F33.</w:t>
            </w:r>
          </w:p>
        </w:tc>
      </w:tr>
      <w:tr>
        <w:tc>
          <w:tcPr>
            <w:tcW w:type="dxa" w:w="3485"/>
            <w:vAlign w:val="top"/>
            <w:tcBorders>
              <w:top w:sz="4" w:val="single" w:color="999999"/>
              <w:left w:sz="4" w:val="single" w:color="999999"/>
              <w:bottom w:sz="4" w:val="single" w:color="999999"/>
              <w:right w:sz="4" w:val="single" w:color="999999"/>
            </w:tcBorders>
          </w:tcPr>
          <w:p>
            <w:r>
              <w:rPr>
                <w:sz w:val="16"/>
              </w:rPr>
              <w:t>Europa League</w:t>
            </w:r>
          </w:p>
        </w:tc>
        <w:tc>
          <w:tcPr>
            <w:tcW w:type="dxa" w:w="3485"/>
            <w:vAlign w:val="top"/>
            <w:tcBorders>
              <w:top w:sz="4" w:val="single" w:color="999999"/>
              <w:left w:sz="4" w:val="single" w:color="999999"/>
              <w:bottom w:sz="4" w:val="single" w:color="999999"/>
              <w:right w:sz="4" w:val="single" w:color="999999"/>
            </w:tcBorders>
          </w:tcPr>
          <w:p>
            <w:r>
              <w:rPr>
                <w:sz w:val="16"/>
              </w:rPr>
              <w:t>F28-F34</w:t>
            </w:r>
          </w:p>
        </w:tc>
        <w:tc>
          <w:tcPr>
            <w:tcW w:type="dxa" w:w="3485"/>
            <w:vAlign w:val="top"/>
            <w:tcBorders>
              <w:top w:sz="4" w:val="single" w:color="999999"/>
              <w:left w:sz="4" w:val="single" w:color="999999"/>
              <w:bottom w:sz="4" w:val="single" w:color="999999"/>
              <w:right w:sz="4" w:val="single" w:color="999999"/>
            </w:tcBorders>
          </w:tcPr>
          <w:p>
            <w:r>
              <w:rPr>
                <w:sz w:val="16"/>
              </w:rPr>
              <w:t>9ª-14ª Ranking, girone F28-F32, finale A/R F33-F34.</w:t>
            </w:r>
          </w:p>
        </w:tc>
      </w:tr>
    </w:tbl>
    <w:p>
      <w:pPr>
        <w:pStyle w:val="Heading2"/>
      </w:pPr>
      <w:r>
        <w:t>6.1 Regular Season</w:t>
      </w:r>
    </w:p>
    <w:p>
      <w:pPr>
        <w:pStyle w:val="ListBullet"/>
      </w:pPr>
      <w:r>
        <w:t>La Regular Season va da F1 a F26 e corrisponde al blocco di campionato regolare a 14 squadre.</w:t>
      </w:r>
    </w:p>
    <w:p>
      <w:pPr>
        <w:pStyle w:val="ListBullet"/>
      </w:pPr>
      <w:r>
        <w:t>Tutte le squadre affrontano tutte le altre due volte.</w:t>
      </w:r>
    </w:p>
    <w:p>
      <w:pPr>
        <w:pStyle w:val="ListBullet"/>
      </w:pPr>
      <w:r>
        <w:t>La classifica finale della Regular determina l’accesso alla Poule Scudetto per le prime 8 e alla Coppa dei Disperati per le ultime 6.</w:t>
      </w:r>
    </w:p>
    <w:p>
      <w:pPr>
        <w:pStyle w:val="ListBullet"/>
      </w:pPr>
      <w:r>
        <w:t>La Regular determina anche i bonus iniziali della Poule, calcolati sul distacco dalla 1ª classificata secondo la griglia prevista alla sezione 6.3.</w:t>
      </w:r>
    </w:p>
    <w:p>
      <w:pPr>
        <w:pStyle w:val="Heading2"/>
      </w:pPr>
      <w:r>
        <w:t>6.2 Poule Scudetto / SFN League</w:t>
      </w:r>
    </w:p>
    <w:p>
      <w:pPr>
        <w:pStyle w:val="ListBullet"/>
      </w:pPr>
      <w:r>
        <w:t>Partecipano le prime 8 della Regular Season.</w:t>
      </w:r>
    </w:p>
    <w:p>
      <w:pPr>
        <w:pStyle w:val="ListBullet"/>
      </w:pPr>
      <w:r>
        <w:t>Si disputa da F27 a F33 con girone unico da 8 squadre, sola andata, 7 giornate.</w:t>
      </w:r>
    </w:p>
    <w:p>
      <w:pPr>
        <w:pStyle w:val="ListBullet"/>
      </w:pPr>
      <w:r>
        <w:t>La classifica della Poule, comprensiva dei bonus iniziali, assegna il titolo principale: la 1ª classificata è Campione SFN.</w:t>
      </w:r>
    </w:p>
    <w:p>
      <w:pPr>
        <w:pStyle w:val="ListBullet"/>
      </w:pPr>
      <w:r>
        <w:t>La Poule è la competizione principale del format e non è una coppa secondaria.</w:t>
      </w:r>
    </w:p>
    <w:p>
      <w:pPr>
        <w:pStyle w:val="Heading2"/>
      </w:pPr>
      <w:r>
        <w:t>6.3 Bonus iniziali Poule</w:t>
      </w:r>
    </w:p>
    <w:p>
      <w:pPr/>
      <w:r>
        <w:t>I bonus iniziali servono a convertire il merito della Regular in un vantaggio di partenza senza trasformare la Poule in una semplice prosecuzione matematica della Regular.</w:t>
      </w:r>
    </w:p>
    <w:p>
      <w:pPr/>
      <w:r>
        <w:t>Al termine della Regular Season, le prime 8 squadre qualificate alla Poule Scudetto ricevono un bonus iniziale calcolato sul distacco dalla 1ª classificata della Regular.</w:t>
      </w:r>
    </w:p>
    <w:tbl>
      <w:tblPr>
        <w:tblStyle w:val="TableGrid"/>
        <w:tblW w:type="auto" w:w="0"/>
        <w:jc w:val="center"/>
        <w:tblLook w:firstColumn="1" w:firstRow="1" w:lastColumn="0" w:lastRow="0" w:noHBand="0" w:noVBand="1" w:val="04A0"/>
      </w:tblPr>
      <w:tblGrid>
        <w:gridCol w:w="4320"/>
        <w:gridCol w:w="4320"/>
      </w:tblGrid>
      <w:tr>
        <w:tc>
          <w:tcPr>
            <w:tcW w:type="dxa" w:w="6048"/>
            <w:vAlign w:val="center"/>
            <w:shd w:fill="1F2A44"/>
          </w:tcPr>
          <w:p>
            <w:r>
              <w:rPr>
                <w:b/>
              </w:rPr>
            </w:r>
            <w:r>
              <w:rPr>
                <w:b/>
                <w:sz w:val="18"/>
              </w:rPr>
              <w:t>Situazione al termine della Regular Season</w:t>
            </w:r>
          </w:p>
        </w:tc>
        <w:tc>
          <w:tcPr>
            <w:tcW w:type="dxa" w:w="2160"/>
            <w:vAlign w:val="center"/>
            <w:shd w:fill="1F2A44"/>
          </w:tcPr>
          <w:p>
            <w:r>
              <w:rPr>
                <w:b/>
              </w:rPr>
            </w:r>
            <w:r>
              <w:rPr>
                <w:b/>
                <w:sz w:val="18"/>
              </w:rPr>
              <w:t>Bonus Poule</w:t>
            </w:r>
          </w:p>
        </w:tc>
      </w:tr>
      <w:tr>
        <w:tc>
          <w:tcPr>
            <w:tcW w:type="dxa" w:w="6048"/>
            <w:vAlign w:val="center"/>
          </w:tcPr>
          <w:p>
            <w:r/>
            <w:r>
              <w:rPr>
                <w:b w:val="0"/>
                <w:sz w:val="18"/>
              </w:rPr>
              <w:t>1ª classificata Regular</w:t>
            </w:r>
          </w:p>
        </w:tc>
        <w:tc>
          <w:tcPr>
            <w:tcW w:type="dxa" w:w="2160"/>
            <w:vAlign w:val="center"/>
          </w:tcPr>
          <w:p>
            <w:r/>
            <w:r>
              <w:rPr>
                <w:b w:val="0"/>
                <w:sz w:val="18"/>
              </w:rPr>
              <w:t>+8 punti</w:t>
            </w:r>
          </w:p>
        </w:tc>
      </w:tr>
      <w:tr>
        <w:tc>
          <w:tcPr>
            <w:tcW w:type="dxa" w:w="6048"/>
            <w:vAlign w:val="center"/>
          </w:tcPr>
          <w:p>
            <w:r/>
            <w:r>
              <w:rPr>
                <w:b w:val="0"/>
                <w:sz w:val="18"/>
              </w:rPr>
              <w:t>Distacco 1-2 punti dalla 1ª</w:t>
            </w:r>
          </w:p>
        </w:tc>
        <w:tc>
          <w:tcPr>
            <w:tcW w:type="dxa" w:w="2160"/>
            <w:vAlign w:val="center"/>
          </w:tcPr>
          <w:p>
            <w:r/>
            <w:r>
              <w:rPr>
                <w:b w:val="0"/>
                <w:sz w:val="18"/>
              </w:rPr>
              <w:t>+7 punti</w:t>
            </w:r>
          </w:p>
        </w:tc>
      </w:tr>
      <w:tr>
        <w:tc>
          <w:tcPr>
            <w:tcW w:type="dxa" w:w="6048"/>
            <w:vAlign w:val="center"/>
          </w:tcPr>
          <w:p>
            <w:r/>
            <w:r>
              <w:rPr>
                <w:b w:val="0"/>
                <w:sz w:val="18"/>
              </w:rPr>
              <w:t>Distacco 3-4 punti dalla 1ª</w:t>
            </w:r>
          </w:p>
        </w:tc>
        <w:tc>
          <w:tcPr>
            <w:tcW w:type="dxa" w:w="2160"/>
            <w:vAlign w:val="center"/>
          </w:tcPr>
          <w:p>
            <w:r/>
            <w:r>
              <w:rPr>
                <w:b w:val="0"/>
                <w:sz w:val="18"/>
              </w:rPr>
              <w:t>+6 punti</w:t>
            </w:r>
          </w:p>
        </w:tc>
      </w:tr>
      <w:tr>
        <w:tc>
          <w:tcPr>
            <w:tcW w:type="dxa" w:w="6048"/>
            <w:vAlign w:val="center"/>
          </w:tcPr>
          <w:p>
            <w:r/>
            <w:r>
              <w:rPr>
                <w:b w:val="0"/>
                <w:sz w:val="18"/>
              </w:rPr>
              <w:t>Distacco 5-6 punti dalla 1ª</w:t>
            </w:r>
          </w:p>
        </w:tc>
        <w:tc>
          <w:tcPr>
            <w:tcW w:type="dxa" w:w="2160"/>
            <w:vAlign w:val="center"/>
          </w:tcPr>
          <w:p>
            <w:r/>
            <w:r>
              <w:rPr>
                <w:b w:val="0"/>
                <w:sz w:val="18"/>
              </w:rPr>
              <w:t>+5 punti</w:t>
            </w:r>
          </w:p>
        </w:tc>
      </w:tr>
      <w:tr>
        <w:tc>
          <w:tcPr>
            <w:tcW w:type="dxa" w:w="6048"/>
            <w:vAlign w:val="center"/>
          </w:tcPr>
          <w:p>
            <w:r/>
            <w:r>
              <w:rPr>
                <w:b w:val="0"/>
                <w:sz w:val="18"/>
              </w:rPr>
              <w:t>Distacco 7-8 punti dalla 1ª</w:t>
            </w:r>
          </w:p>
        </w:tc>
        <w:tc>
          <w:tcPr>
            <w:tcW w:type="dxa" w:w="2160"/>
            <w:vAlign w:val="center"/>
          </w:tcPr>
          <w:p>
            <w:r/>
            <w:r>
              <w:rPr>
                <w:b w:val="0"/>
                <w:sz w:val="18"/>
              </w:rPr>
              <w:t>+4 punti</w:t>
            </w:r>
          </w:p>
        </w:tc>
      </w:tr>
      <w:tr>
        <w:tc>
          <w:tcPr>
            <w:tcW w:type="dxa" w:w="6048"/>
            <w:vAlign w:val="center"/>
          </w:tcPr>
          <w:p>
            <w:r/>
            <w:r>
              <w:rPr>
                <w:b w:val="0"/>
                <w:sz w:val="18"/>
              </w:rPr>
              <w:t>Distacco 9-10 punti dalla 1ª</w:t>
            </w:r>
          </w:p>
        </w:tc>
        <w:tc>
          <w:tcPr>
            <w:tcW w:type="dxa" w:w="2160"/>
            <w:vAlign w:val="center"/>
          </w:tcPr>
          <w:p>
            <w:r/>
            <w:r>
              <w:rPr>
                <w:b w:val="0"/>
                <w:sz w:val="18"/>
              </w:rPr>
              <w:t>+3 punti</w:t>
            </w:r>
          </w:p>
        </w:tc>
      </w:tr>
      <w:tr>
        <w:tc>
          <w:tcPr>
            <w:tcW w:type="dxa" w:w="6048"/>
            <w:vAlign w:val="center"/>
          </w:tcPr>
          <w:p>
            <w:r/>
            <w:r>
              <w:rPr>
                <w:b w:val="0"/>
                <w:sz w:val="18"/>
              </w:rPr>
              <w:t>Distacco 11-12 punti dalla 1ª</w:t>
            </w:r>
          </w:p>
        </w:tc>
        <w:tc>
          <w:tcPr>
            <w:tcW w:type="dxa" w:w="2160"/>
            <w:vAlign w:val="center"/>
          </w:tcPr>
          <w:p>
            <w:r/>
            <w:r>
              <w:rPr>
                <w:b w:val="0"/>
                <w:sz w:val="18"/>
              </w:rPr>
              <w:t>+2 punti</w:t>
            </w:r>
          </w:p>
        </w:tc>
      </w:tr>
      <w:tr>
        <w:tc>
          <w:tcPr>
            <w:tcW w:type="dxa" w:w="6048"/>
            <w:vAlign w:val="center"/>
          </w:tcPr>
          <w:p>
            <w:r/>
            <w:r>
              <w:rPr>
                <w:b w:val="0"/>
                <w:sz w:val="18"/>
              </w:rPr>
              <w:t>Distacco 13-14 punti dalla 1ª</w:t>
            </w:r>
          </w:p>
        </w:tc>
        <w:tc>
          <w:tcPr>
            <w:tcW w:type="dxa" w:w="2160"/>
            <w:vAlign w:val="center"/>
          </w:tcPr>
          <w:p>
            <w:r/>
            <w:r>
              <w:rPr>
                <w:b w:val="0"/>
                <w:sz w:val="18"/>
              </w:rPr>
              <w:t>+1 punto</w:t>
            </w:r>
          </w:p>
        </w:tc>
      </w:tr>
      <w:tr>
        <w:tc>
          <w:tcPr>
            <w:tcW w:type="dxa" w:w="6048"/>
            <w:vAlign w:val="center"/>
          </w:tcPr>
          <w:p>
            <w:r/>
            <w:r>
              <w:rPr>
                <w:b w:val="0"/>
                <w:sz w:val="18"/>
              </w:rPr>
              <w:t>Distacco 15 o più punti dalla 1ª</w:t>
            </w:r>
          </w:p>
        </w:tc>
        <w:tc>
          <w:tcPr>
            <w:tcW w:type="dxa" w:w="2160"/>
            <w:vAlign w:val="center"/>
          </w:tcPr>
          <w:p>
            <w:r/>
            <w:r>
              <w:rPr>
                <w:b w:val="0"/>
                <w:sz w:val="18"/>
              </w:rPr>
              <w:t>0 punti</w:t>
            </w:r>
          </w:p>
        </w:tc>
      </w:tr>
    </w:tbl>
    <w:p>
      <w:pPr/>
      <w:r>
        <w:t>La 1ª classificata della Regular riceve sempre +8 punti. Tutte le altre qualificate ricevono il bonus in base al distacco in punti dalla 1ª classificata.</w:t>
      </w:r>
    </w:p>
    <w:p>
      <w:pPr/>
      <w:r>
        <w:t>Esempio: se la 1ª chiude a 52 punti e una qualificata chiude a 47 punti, il distacco è di 5 punti e il bonus iniziale sarà +5.</w:t>
      </w:r>
    </w:p>
    <w:p>
      <w:pPr/>
      <w:r>
        <w:t>I bonus vengono sommati ai punti conquistati nelle 7 giornate della Poule Scudetto. La classifica finale della Poule, comprensiva dei bonus iniziali, determina il Campione SFN e le posizioni a premio.</w:t>
      </w:r>
    </w:p>
    <w:p>
      <w:pPr/>
      <w:r>
        <w:t>In caso di pari merito nella Regular, prima si definisce la posizione in classifica secondo i criteri ufficiali della piattaforma/lega; poi si applica il bonus spettante in base al distacco dalla 1ª.</w:t>
      </w:r>
    </w:p>
    <w:p>
      <w:pPr>
        <w:pStyle w:val="Heading2"/>
      </w:pPr>
      <w:r>
        <w:t>6.4 Battle Royale unica complessiva</w:t>
      </w:r>
    </w:p>
    <w:p>
      <w:pPr>
        <w:pStyle w:val="ListBullet"/>
      </w:pPr>
      <w:r>
        <w:t>La Battle Royale unica va da F1 a F34.</w:t>
      </w:r>
    </w:p>
    <w:p>
      <w:pPr>
        <w:pStyle w:val="ListBullet"/>
      </w:pPr>
      <w:r>
        <w:t>Ogni giornata ogni squadra compete idealmente contro tutte le altre secondo la logica della modalità Battle Royale.</w:t>
      </w:r>
    </w:p>
    <w:p>
      <w:pPr>
        <w:pStyle w:val="ListBullet"/>
      </w:pPr>
      <w:r>
        <w:t>La competizione premia il rendimento complessivo stagionale senza dipendere dal calendario a scontri diretti.</w:t>
      </w:r>
    </w:p>
    <w:p>
      <w:pPr>
        <w:pStyle w:val="ListBullet"/>
      </w:pPr>
      <w:r>
        <w:t>Premi: 1° 200 euro, 2° 100 euro.</w:t>
      </w:r>
    </w:p>
    <w:p>
      <w:pPr>
        <w:pStyle w:val="Heading2"/>
      </w:pPr>
      <w:r>
        <w:t>6.5 Coppa Italia</w:t>
      </w:r>
    </w:p>
    <w:p>
      <w:pPr>
        <w:pStyle w:val="ListBullet"/>
      </w:pPr>
      <w:r>
        <w:t>La Coppa Italia inizia alla F4.</w:t>
      </w:r>
    </w:p>
    <w:p>
      <w:pPr>
        <w:pStyle w:val="ListBullet"/>
      </w:pPr>
      <w:r>
        <w:t>Il sorteggio dei gironi si svolge online.</w:t>
      </w:r>
    </w:p>
    <w:p>
      <w:pPr>
        <w:pStyle w:val="ListBullet"/>
      </w:pPr>
      <w:r>
        <w:t>Sono previsti 2 gironi random da 7 squadre ciascuno.</w:t>
      </w:r>
    </w:p>
    <w:p>
      <w:pPr>
        <w:pStyle w:val="ListBullet"/>
      </w:pPr>
      <w:r>
        <w:t>Ogni girone è all’italiana andata/ritorno; ogni turno una squadra riposa.</w:t>
      </w:r>
    </w:p>
    <w:p>
      <w:pPr>
        <w:pStyle w:val="ListBullet"/>
      </w:pPr>
      <w:r>
        <w:t>Andata: F4-F10. Ritorno: F15-F21.</w:t>
      </w:r>
    </w:p>
    <w:p>
      <w:pPr>
        <w:pStyle w:val="ListBullet"/>
      </w:pPr>
      <w:r>
        <w:t>Si qualificano le prime 4 di ogni girone.</w:t>
      </w:r>
    </w:p>
    <w:p>
      <w:pPr>
        <w:pStyle w:val="ListBullet"/>
      </w:pPr>
      <w:r>
        <w:t>Quarti e semifinali si disputano andata/ritorno. La finale è secca.</w:t>
      </w:r>
    </w:p>
    <w:p>
      <w:pPr>
        <w:pStyle w:val="ListBullet"/>
      </w:pPr>
      <w:r>
        <w:t>Il fattore campo è attivo nei gironi e nelle partite andata/ritorno della fase finale.</w:t>
      </w:r>
    </w:p>
    <w:p>
      <w:pPr>
        <w:pStyle w:val="ListBullet"/>
      </w:pPr>
      <w:r>
        <w:t>Per la finale secca non si applica automaticamente il fattore campo, salvo diversa impostazione approvata e configurabile.</w:t>
      </w:r>
    </w:p>
    <w:p>
      <w:pPr>
        <w:pStyle w:val="Heading2"/>
      </w:pPr>
      <w:r>
        <w:t>6.6 Highlander Cup</w:t>
      </w:r>
    </w:p>
    <w:p>
      <w:pPr>
        <w:pStyle w:val="ListBullet"/>
      </w:pPr>
      <w:r>
        <w:t>La Highlander Cup parte da F15 e termina a F27.</w:t>
      </w:r>
    </w:p>
    <w:p>
      <w:pPr>
        <w:pStyle w:val="ListBullet"/>
      </w:pPr>
      <w:r>
        <w:t>La partenza è posticipata di una giornata perché F14 coincide con una giornata condizionata da due rinvii di Serie A legati alla Supercoppa italiana.</w:t>
      </w:r>
    </w:p>
    <w:p>
      <w:pPr>
        <w:pStyle w:val="ListBullet"/>
      </w:pPr>
      <w:r>
        <w:t>Il meccanismo base è l’eliminazione progressiva della squadra con il peggior punteggio di giornata.</w:t>
      </w:r>
    </w:p>
    <w:p>
      <w:pPr>
        <w:pStyle w:val="ListBullet"/>
      </w:pPr>
      <w:r>
        <w:t>In caso di pari punteggio nell’eliminazione, si applicano gli spareggi definiti prima dell’inizio della competizione.</w:t>
      </w:r>
    </w:p>
    <w:p>
      <w:pPr>
        <w:pStyle w:val="Heading2"/>
      </w:pPr>
      <w:r>
        <w:t>6.7 Champions League ed Europa League</w:t>
      </w:r>
    </w:p>
    <w:p>
      <w:pPr>
        <w:pStyle w:val="ListBullet"/>
      </w:pPr>
      <w:r>
        <w:t>Champions ed Europa League partono da F28 perché è necessario attendere la chiusura della Highlander a F27 e il calcolo definitivo del Ranking Europeo.</w:t>
      </w:r>
    </w:p>
    <w:p>
      <w:pPr>
        <w:pStyle w:val="ListBullet"/>
      </w:pPr>
      <w:r>
        <w:t>La Champions League è riservata alle prime 8 del Ranking Europeo: quarti A/R F28-F29, semifinali A/R F30-F31, finale A/R F32-F33.</w:t>
      </w:r>
    </w:p>
    <w:p>
      <w:pPr>
        <w:pStyle w:val="ListBullet"/>
      </w:pPr>
      <w:r>
        <w:t>L’Europa League è riservata alle squadre dal 9° al 14° posto del Ranking Europeo: girone F28-F32, finale A/R F33-F34.</w:t>
      </w:r>
    </w:p>
    <w:p>
      <w:pPr>
        <w:pStyle w:val="ListBullet"/>
      </w:pPr>
      <w:r>
        <w:t>Le coppe europee sono collegate al Ranking Europeo e non alla sola classifica della Regular Season.</w:t>
      </w:r>
    </w:p>
    <w:p>
      <w:pPr>
        <w:pStyle w:val="Heading2"/>
      </w:pPr>
      <w:r>
        <w:t>6.8 Coppa dei Disperati</w:t>
      </w:r>
    </w:p>
    <w:p>
      <w:pPr>
        <w:pStyle w:val="ListBullet"/>
      </w:pPr>
      <w:r>
        <w:t>Partecipano le squadre classificate dal 9° al 14° posto nella Regular Season.</w:t>
      </w:r>
    </w:p>
    <w:p>
      <w:pPr>
        <w:pStyle w:val="ListBullet"/>
      </w:pPr>
      <w:r>
        <w:t>La competizione prevede girone F27-F31 e finale andata/ritorno F32-F33 tra 1ª e 2ª del girone.</w:t>
      </w:r>
    </w:p>
    <w:p>
      <w:pPr>
        <w:pStyle w:val="ListBullet"/>
      </w:pPr>
      <w:r>
        <w:t>La Coppa dei Disperati è un obiettivo concreto per chi resta fuori dalla Poule, ma non sostituisce né riduce il valore del titolo principale.</w:t>
      </w:r>
    </w:p>
    <w:p>
      <w:pPr>
        <w:pStyle w:val="Heading1"/>
      </w:pPr>
      <w:r>
        <w:t>7. Ranking Europeo: funzione e calcolo</w:t>
      </w:r>
    </w:p>
    <w:p>
      <w:pPr>
        <w:pStyle w:val="ListBullet"/>
      </w:pPr>
      <w:r>
        <w:t>Il Ranking Europeo è una classifica manuale/esterna che serve esclusivamente a determinare le qualificazioni europee: prime 8 in Champions League, squadre dal 9° al 14° posto in Europa League.</w:t>
      </w:r>
    </w:p>
    <w:p>
      <w:pPr>
        <w:pStyle w:val="ListBullet"/>
      </w:pPr>
      <w:r>
        <w:t>Il Ranking si calcola al termine della F27, cioè dopo la conclusione della Highlander, così da includere anche il risultato della Highlander.</w:t>
      </w:r>
    </w:p>
    <w:p>
      <w:pPr>
        <w:pStyle w:val="ListBullet"/>
      </w:pPr>
      <w:r>
        <w:t>Il Ranking non assegna premio economico autonomo, salvo diversa decisione espressa.</w:t>
      </w:r>
    </w:p>
    <w:p>
      <w:pPr>
        <w:pStyle w:val="ListBullet"/>
      </w:pPr>
      <w:r>
        <w:t>Il Ranking Europeo può essere tenuto tramite foglio esterno/tracker dedicato, aggiornabile ogni giornata oppure ogni tre giornate. Il tracker non sostituisce il regolamento: serve solo a calcolare e pubblicare in modo ordinato la classifica provvisoria e definitiva.</w:t>
      </w:r>
    </w:p>
    <w:p>
      <w:pPr>
        <w:pStyle w:val="ListBullet"/>
      </w:pPr>
      <w:r>
        <w:t>Per aggiornare il Ranking provvisorio si inseriscono nel tracker i punteggi di giornata da F1 a F27 e si riporta manualmente la posizione Battle Royale presa dalla piattaforma. I punteggi F1-F27 servono a calcolare la migliore media punti Regular, il record giornata Regular e il maggior numero di migliori punteggi di giornata in Regular; la posizione Battle utile al Ranking viene invece copiata dalla classifica Battle ufficiale/provvisoria di Fantacalcio.it alla F27.</w:t>
      </w:r>
    </w:p>
    <w:p>
      <w:pPr>
        <w:pStyle w:val="ListBullet"/>
      </w:pPr>
      <w:r>
        <w:t>La classifica pubblicata prima della F27 ha valore puramente informativo/provvisorio. Il Ranking Europeo produce effetti ufficiali solo al termine della F27, dopo la chiusura della Highlander e dopo il controllo dei dati inseriti nel tracker.</w:t>
      </w:r>
    </w:p>
    <w:p>
      <w:pPr>
        <w:pStyle w:val="Heading2"/>
      </w:pPr>
      <w:r>
        <w:t>7.1 Punteggi Ranking</w:t>
      </w:r>
    </w:p>
    <w:tbl>
      <w:tblPr>
        <w:tblStyle w:val="TableGrid"/>
        <w:tblW w:type="auto" w:w="0"/>
        <w:jc w:val="center"/>
        <w:tblLook w:firstColumn="1" w:firstRow="1" w:lastColumn="0" w:lastRow="0" w:noHBand="0" w:noVBand="1" w:val="04A0"/>
      </w:tblPr>
      <w:tblGrid>
        <w:gridCol w:w="5227"/>
        <w:gridCol w:w="5227"/>
      </w:tblGrid>
      <w:tr>
        <w:tc>
          <w:tcPr>
            <w:tcW w:type="dxa" w:w="5227"/>
            <w:shd w:fill="1F2A44"/>
            <w:vAlign w:val="center"/>
            <w:tcBorders>
              <w:top w:sz="4" w:val="single" w:color="999999"/>
              <w:left w:sz="4" w:val="single" w:color="999999"/>
              <w:bottom w:sz="4" w:val="single" w:color="999999"/>
              <w:right w:sz="4" w:val="single" w:color="999999"/>
            </w:tcBorders>
          </w:tcPr>
          <w:p>
            <w:r>
              <w:rPr>
                <w:b/>
                <w:color w:val="FFFFFF"/>
                <w:sz w:val="16"/>
              </w:rPr>
              <w:t>Voce</w:t>
            </w:r>
          </w:p>
        </w:tc>
        <w:tc>
          <w:tcPr>
            <w:tcW w:type="dxa" w:w="5227"/>
            <w:shd w:fill="1F2A44"/>
            <w:vAlign w:val="center"/>
            <w:tcBorders>
              <w:top w:sz="4" w:val="single" w:color="999999"/>
              <w:left w:sz="4" w:val="single" w:color="999999"/>
              <w:bottom w:sz="4" w:val="single" w:color="999999"/>
              <w:right w:sz="4" w:val="single" w:color="999999"/>
            </w:tcBorders>
          </w:tcPr>
          <w:p>
            <w:r>
              <w:rPr>
                <w:b/>
                <w:color w:val="FFFFFF"/>
                <w:sz w:val="16"/>
              </w:rPr>
              <w:t>Punteggi</w:t>
            </w:r>
          </w:p>
        </w:tc>
      </w:tr>
      <w:tr>
        <w:tc>
          <w:tcPr>
            <w:tcW w:type="dxa" w:w="5227"/>
            <w:vAlign w:val="top"/>
            <w:tcBorders>
              <w:top w:sz="4" w:val="single" w:color="999999"/>
              <w:left w:sz="4" w:val="single" w:color="999999"/>
              <w:bottom w:sz="4" w:val="single" w:color="999999"/>
              <w:right w:sz="4" w:val="single" w:color="999999"/>
            </w:tcBorders>
          </w:tcPr>
          <w:p>
            <w:r>
              <w:rPr>
                <w:sz w:val="16"/>
              </w:rPr>
              <w:t>Regular Season</w:t>
            </w:r>
          </w:p>
        </w:tc>
        <w:tc>
          <w:tcPr>
            <w:tcW w:type="dxa" w:w="5227"/>
            <w:vAlign w:val="top"/>
            <w:tcBorders>
              <w:top w:sz="4" w:val="single" w:color="999999"/>
              <w:left w:sz="4" w:val="single" w:color="999999"/>
              <w:bottom w:sz="4" w:val="single" w:color="999999"/>
              <w:right w:sz="4" w:val="single" w:color="999999"/>
            </w:tcBorders>
          </w:tcPr>
          <w:p>
            <w:r>
              <w:rPr>
                <w:sz w:val="16"/>
              </w:rPr>
              <w:t>1ª 28 punti, 2ª 25, 3ª 23, 4ª 21, 5ª 19, 6ª 17, 7ª 15, 8ª 13, 9ª 11, 10ª 9, 11ª 7, 12ª 5, 13ª 3, 14ª 1.</w:t>
            </w:r>
          </w:p>
        </w:tc>
      </w:tr>
      <w:tr>
        <w:tc>
          <w:tcPr>
            <w:tcW w:type="dxa" w:w="5227"/>
            <w:vAlign w:val="top"/>
            <w:tcBorders>
              <w:top w:sz="4" w:val="single" w:color="999999"/>
              <w:left w:sz="4" w:val="single" w:color="999999"/>
              <w:bottom w:sz="4" w:val="single" w:color="999999"/>
              <w:right w:sz="4" w:val="single" w:color="999999"/>
            </w:tcBorders>
          </w:tcPr>
          <w:p>
            <w:r>
              <w:rPr>
                <w:sz w:val="16"/>
              </w:rPr>
              <w:t>Battle Royale unica</w:t>
            </w:r>
          </w:p>
        </w:tc>
        <w:tc>
          <w:tcPr>
            <w:tcW w:type="dxa" w:w="5227"/>
            <w:vAlign w:val="top"/>
            <w:tcBorders>
              <w:top w:sz="4" w:val="single" w:color="999999"/>
              <w:left w:sz="4" w:val="single" w:color="999999"/>
              <w:bottom w:sz="4" w:val="single" w:color="999999"/>
              <w:right w:sz="4" w:val="single" w:color="999999"/>
            </w:tcBorders>
          </w:tcPr>
          <w:p>
            <w:r>
              <w:t>Ai soli fini del Ranking Europeo si utilizza la classifica Battle Royale aggiornata al termine della F27: 1ª 15 punti, 2ª 10, 3ª 7, 4ª 5, 5ª 3, 6ª 1; dalla 7ª in poi 0.</w:t>
            </w:r>
          </w:p>
        </w:tc>
      </w:tr>
      <w:tr>
        <w:tc>
          <w:tcPr>
            <w:tcW w:type="dxa" w:w="5227"/>
            <w:vAlign w:val="top"/>
            <w:tcBorders>
              <w:top w:sz="4" w:val="single" w:color="999999"/>
              <w:left w:sz="4" w:val="single" w:color="999999"/>
              <w:bottom w:sz="4" w:val="single" w:color="999999"/>
              <w:right w:sz="4" w:val="single" w:color="999999"/>
            </w:tcBorders>
          </w:tcPr>
          <w:p>
            <w:r>
              <w:rPr>
                <w:sz w:val="16"/>
              </w:rPr>
              <w:t>Highlander Cup</w:t>
            </w:r>
          </w:p>
        </w:tc>
        <w:tc>
          <w:tcPr>
            <w:tcW w:type="dxa" w:w="5227"/>
            <w:vAlign w:val="top"/>
            <w:tcBorders>
              <w:top w:sz="4" w:val="single" w:color="999999"/>
              <w:left w:sz="4" w:val="single" w:color="999999"/>
              <w:bottom w:sz="4" w:val="single" w:color="999999"/>
              <w:right w:sz="4" w:val="single" w:color="999999"/>
            </w:tcBorders>
          </w:tcPr>
          <w:p>
            <w:r>
              <w:rPr>
                <w:sz w:val="16"/>
              </w:rPr>
              <w:t>Vincitore 12 punti, 2° 8, 3° 5, 4° 3, 5° 1.</w:t>
            </w:r>
          </w:p>
        </w:tc>
      </w:tr>
      <w:tr>
        <w:tc>
          <w:tcPr>
            <w:tcW w:type="dxa" w:w="5227"/>
            <w:vAlign w:val="top"/>
            <w:tcBorders>
              <w:top w:sz="4" w:val="single" w:color="999999"/>
              <w:left w:sz="4" w:val="single" w:color="999999"/>
              <w:bottom w:sz="4" w:val="single" w:color="999999"/>
              <w:right w:sz="4" w:val="single" w:color="999999"/>
            </w:tcBorders>
          </w:tcPr>
          <w:p>
            <w:r>
              <w:rPr>
                <w:sz w:val="16"/>
              </w:rPr>
              <w:t>Bonus speciali Regular</w:t>
            </w:r>
          </w:p>
        </w:tc>
        <w:tc>
          <w:tcPr>
            <w:tcW w:type="dxa" w:w="5227"/>
            <w:vAlign w:val="top"/>
            <w:tcBorders>
              <w:top w:sz="4" w:val="single" w:color="999999"/>
              <w:left w:sz="4" w:val="single" w:color="999999"/>
              <w:bottom w:sz="4" w:val="single" w:color="999999"/>
              <w:right w:sz="4" w:val="single" w:color="999999"/>
            </w:tcBorders>
          </w:tcPr>
          <w:p>
            <w:r>
              <w:t>Miglior media punti Regular +5; record di giornata Regular +5; maggior numero di migliori punteggi di giornata in Regular +5. I bonus sono calcolati sui punteggi F1-F26 della Regular.</w:t>
            </w:r>
          </w:p>
        </w:tc>
      </w:tr>
    </w:tbl>
    <w:p>
      <w:pPr>
        <w:pStyle w:val="Heading2"/>
      </w:pPr>
      <w:r>
        <w:t>7.2 Pari merito Ranking Europeo</w:t>
      </w:r>
    </w:p>
    <w:p>
      <w:pPr>
        <w:pStyle w:val="ListNumber"/>
      </w:pPr>
      <w:r>
        <w:t>Migliore posizione nella Regular Season.</w:t>
      </w:r>
    </w:p>
    <w:p>
      <w:pPr>
        <w:pStyle w:val="ListNumber"/>
      </w:pPr>
      <w:r>
        <w:t>Migliore media punti nella Regular Season.</w:t>
      </w:r>
    </w:p>
    <w:p>
      <w:pPr>
        <w:pStyle w:val="ListNumber"/>
      </w:pPr>
      <w:r>
        <w:t>Maggior numero di migliori punteggi di giornata in Regular Season.</w:t>
      </w:r>
    </w:p>
    <w:p>
      <w:pPr>
        <w:pStyle w:val="ListNumber"/>
      </w:pPr>
      <w:r>
        <w:t>Miglior record singola giornata nella stagione utile.</w:t>
      </w:r>
    </w:p>
    <w:p>
      <w:pPr>
        <w:pStyle w:val="ListNumber"/>
      </w:pPr>
      <w:r>
        <w:t>Sorteggio o altro criterio approvato dal gruppo se permane la parità.</w:t>
      </w:r>
    </w:p>
    <w:p>
      <w:pPr>
        <w:pStyle w:val="Heading1"/>
      </w:pPr>
      <w:r>
        <w:t>8. Rinviate, recuperi, 6 politico, errori piattaforma e casi limite</w:t>
      </w:r>
    </w:p>
    <w:p>
      <w:pPr>
        <w:pStyle w:val="Heading2"/>
      </w:pPr>
      <w:r>
        <w:t>8.1 Principio generale sui rinvii</w:t>
      </w:r>
    </w:p>
    <w:p>
      <w:pPr>
        <w:pStyle w:val="ListBullet"/>
      </w:pPr>
      <w:r>
        <w:t>Nessuna giornata viene cancellata in blocco solo perché una o più partite di Serie A sono rinviate.</w:t>
      </w:r>
    </w:p>
    <w:p>
      <w:pPr>
        <w:pStyle w:val="ListBullet"/>
      </w:pPr>
      <w:r>
        <w:t>Dove possibile, le competizioni restano in standby in attesa dei recuperi ufficiali.</w:t>
      </w:r>
    </w:p>
    <w:p>
      <w:pPr>
        <w:pStyle w:val="ListBullet"/>
      </w:pPr>
      <w:r>
        <w:t>Dove non possibile per necessità di tabellone o chiusura competizione, si applica la regola eccezionale prevista dal regolamento.</w:t>
      </w:r>
    </w:p>
    <w:p>
      <w:pPr>
        <w:pStyle w:val="ListBullet"/>
      </w:pPr>
      <w:r>
        <w:t>La scelta deve essere uniforme per tutti e comunicata nel gruppo.</w:t>
      </w:r>
    </w:p>
    <w:p>
      <w:pPr>
        <w:pStyle w:val="Heading2"/>
      </w:pPr>
      <w:r>
        <w:t>8.2 Uso del 6 politico</w:t>
      </w:r>
    </w:p>
    <w:p>
      <w:pPr>
        <w:pStyle w:val="ListBullet"/>
      </w:pPr>
      <w:r>
        <w:t>Il 6 politico è misura eccezionale e non regola ordinaria.</w:t>
      </w:r>
    </w:p>
    <w:p>
      <w:pPr>
        <w:pStyle w:val="ListBullet"/>
      </w:pPr>
      <w:r>
        <w:t>Può essere usato per coppe con calendario stretto, eliminazione diretta o necessità di chiudere un tabellone.</w:t>
      </w:r>
    </w:p>
    <w:p>
      <w:pPr>
        <w:pStyle w:val="ListBullet"/>
      </w:pPr>
      <w:r>
        <w:t>Può essere usato anche per campionato o Ranking solo se indispensabile a definire una graduatoria all’ultima giornata della rispettiva competizione e non sia possibile attendere il recupero ufficiale.</w:t>
      </w:r>
    </w:p>
    <w:p>
      <w:pPr>
        <w:pStyle w:val="ListBullet"/>
      </w:pPr>
      <w:r>
        <w:t>L’applicazione del 6 politico deve essere comunicata in modo uniforme per tutti i calciatori coinvolti.</w:t>
      </w:r>
    </w:p>
    <w:p>
      <w:pPr>
        <w:pStyle w:val="Heading2"/>
      </w:pPr>
      <w:r>
        <w:t>8.3 Errori piattaforma o dati</w:t>
      </w:r>
    </w:p>
    <w:p>
      <w:pPr>
        <w:pStyle w:val="ListBullet"/>
      </w:pPr>
      <w:r>
        <w:t>Errori evidenti della piattaforma devono essere segnalati tempestivamente nel gruppo.</w:t>
      </w:r>
    </w:p>
    <w:p>
      <w:pPr>
        <w:pStyle w:val="ListBullet"/>
      </w:pPr>
      <w:r>
        <w:t>Se la piattaforma corregge ufficialmente voti, bonus, malus o tabellini, la lega recepisce la correzione secondo le impostazioni disponibili.</w:t>
      </w:r>
    </w:p>
    <w:p>
      <w:pPr>
        <w:pStyle w:val="ListBullet"/>
      </w:pPr>
      <w:r>
        <w:t>Non sono ammesse correzioni manuali basate su video, opinioni personali o interpretazioni giornalistiche, salvo errore tecnico macroscopico riconosciuto e gestito dalla piattaforma.</w:t>
      </w:r>
    </w:p>
    <w:p>
      <w:pPr>
        <w:pStyle w:val="ListBullet"/>
      </w:pPr>
      <w:r>
        <w:t>In caso di malfunzionamento temporaneo, l’organizzazione può sospendere una procedura fino al ripristino, senza alterare i diritti già maturati.</w:t>
      </w:r>
    </w:p>
    <w:p>
      <w:pPr>
        <w:pStyle w:val="Heading1"/>
      </w:pPr>
      <w:r>
        <w:t>9. Premi, penalità, classifiche speciali e montepremi</w:t>
      </w:r>
    </w:p>
    <w:p>
      <w:pPr>
        <w:pStyle w:val="Heading2"/>
      </w:pPr>
      <w:r>
        <w:t>9.1 Regular Season, Poule e Battle</w:t>
      </w:r>
    </w:p>
    <w:p>
      <w:pPr>
        <w:pStyle w:val="ListBullet"/>
      </w:pPr>
      <w:r>
        <w:t>La Regular Season assegna premi autonomi: 1° 200 euro, 2° 100 euro.</w:t>
      </w:r>
    </w:p>
    <w:p>
      <w:pPr>
        <w:pStyle w:val="ListBullet"/>
      </w:pPr>
      <w:r>
        <w:t>La Poule Scudetto assegna il titolo principale e premi: 1° 230 euro, 2° 110 euro.</w:t>
      </w:r>
    </w:p>
    <w:p>
      <w:pPr>
        <w:pStyle w:val="ListBullet"/>
      </w:pPr>
      <w:r>
        <w:t>La Battle Royale unica assegna premi: 1° 200 euro, 2° 100 euro.</w:t>
      </w:r>
    </w:p>
    <w:p>
      <w:pPr>
        <w:pStyle w:val="ListBullet"/>
      </w:pPr>
      <w:r>
        <w:t>La presenza di premi su più competizioni non altera il valore del titolo principale, che resta quello della Poule Scudetto / SFN League.</w:t>
      </w:r>
    </w:p>
    <w:p>
      <w:pPr>
        <w:pStyle w:val="Heading2"/>
      </w:pPr>
      <w:r>
        <w:t>9.2 Premio Martire e penalità Sculato</w:t>
      </w:r>
    </w:p>
    <w:p>
      <w:pPr>
        <w:pStyle w:val="ListBullet"/>
      </w:pPr>
      <w:r>
        <w:t>Il Premio Martire spetta alla squadra che in Regular Season subisce più punti totali avversari.</w:t>
      </w:r>
    </w:p>
    <w:p>
      <w:pPr>
        <w:pStyle w:val="ListBullet"/>
      </w:pPr>
      <w:r>
        <w:t>Il premio è pari a 20 euro ed è finanziato dalla penalità Sculato.</w:t>
      </w:r>
    </w:p>
    <w:p>
      <w:pPr>
        <w:pStyle w:val="ListBullet"/>
      </w:pPr>
      <w:r>
        <w:t>La penalità Sculato è pari a 20 euro e viene pagata dalla squadra che in Regular Season subisce meno punti totali avversari.</w:t>
      </w:r>
    </w:p>
    <w:p>
      <w:pPr>
        <w:pStyle w:val="ListBullet"/>
      </w:pPr>
      <w:r>
        <w:t>In caso di pari merito si applicano criteri di spareggio: media avversari subita, posizione Regular, sorteggio o divisione, secondo decisione approvata.</w:t>
      </w:r>
    </w:p>
    <w:p>
      <w:pPr>
        <w:pStyle w:val="Heading2"/>
      </w:pPr>
      <w:r>
        <w:t>9.3 Cornetti BlaBla e statistiche goliardiche</w:t>
      </w:r>
    </w:p>
    <w:p>
      <w:pPr>
        <w:pStyle w:val="ListBullet"/>
      </w:pPr>
      <w:r>
        <w:t>Cornetti BlaBla è penalità goliardica da 20 euro fuori montepremi.</w:t>
      </w:r>
    </w:p>
    <w:p>
      <w:pPr>
        <w:pStyle w:val="ListBullet"/>
      </w:pPr>
      <w:r>
        <w:t>Colpisce la squadra che realizza il peggior punteggio assoluto in una singola giornata ufficiale SFN dell’intera stagione.</w:t>
      </w:r>
    </w:p>
    <w:p>
      <w:pPr>
        <w:pStyle w:val="ListBullet"/>
      </w:pPr>
      <w:r>
        <w:t>La destinazione dei 20 euro sarà decisa dal gruppo: fondo cena, birre, cazzate finali o altro uso goliardico.</w:t>
      </w:r>
    </w:p>
    <w:p>
      <w:pPr>
        <w:pStyle w:val="ListBullet"/>
      </w:pPr>
      <w:r>
        <w:t>Il Re di Giornata può restare come statistica, classifica d’onore o contenuto SFN Central, senza premio economico salvo diversa decisione prima dell’asta.</w:t>
      </w:r>
    </w:p>
    <w:p>
      <w:pPr>
        <w:pStyle w:val="Heading1"/>
      </w:pPr>
      <w:r>
        <w:t>10. Formazioni, mancata consegna, comportamento e contestazioni</w:t>
      </w:r>
    </w:p>
    <w:p>
      <w:pPr>
        <w:pStyle w:val="Heading2"/>
      </w:pPr>
      <w:r>
        <w:t>10.1 Consegna formazione</w:t>
      </w:r>
    </w:p>
    <w:p>
      <w:pPr>
        <w:pStyle w:val="ListBullet"/>
      </w:pPr>
      <w:r>
        <w:t>Le formazioni devono essere inserite sulla piattaforma entro il termine previsto, normalmente un minuto prima del primo anticipo.</w:t>
      </w:r>
    </w:p>
    <w:p>
      <w:pPr>
        <w:pStyle w:val="ListBullet"/>
      </w:pPr>
      <w:r>
        <w:t>Il partecipante è responsabile del corretto salvataggio della formazione.</w:t>
      </w:r>
    </w:p>
    <w:p>
      <w:pPr>
        <w:pStyle w:val="ListBullet"/>
      </w:pPr>
      <w:r>
        <w:t>In caso di dubbio, fa fede quanto risulta sulla piattaforma, salvo malfunzionamento documentabile.</w:t>
      </w:r>
    </w:p>
    <w:p>
      <w:pPr>
        <w:pStyle w:val="Heading2"/>
      </w:pPr>
      <w:r>
        <w:t>10.2 Malfunzionamento piattaforma</w:t>
      </w:r>
    </w:p>
    <w:p>
      <w:pPr>
        <w:pStyle w:val="ListBullet"/>
      </w:pPr>
      <w:r>
        <w:t>In caso di malfunzionamento, è valida la formazione inviata sul gruppo WhatsApp con tag al Presidente o Vicepresidente, purché completa, tempestiva e inviata prima del termine utile.</w:t>
      </w:r>
    </w:p>
    <w:p>
      <w:pPr>
        <w:pStyle w:val="ListBullet"/>
      </w:pPr>
      <w:r>
        <w:t>Una formazione incompleta, ambigua o inviata dopo l’inizio delle partite non è automaticamente valida.</w:t>
      </w:r>
    </w:p>
    <w:p>
      <w:pPr>
        <w:pStyle w:val="ListBullet"/>
      </w:pPr>
      <w:r>
        <w:t>Chi invia la formazione fuori piattaforma deve farlo in modo chiaro, indicando titolari, panchina e modulo.</w:t>
      </w:r>
    </w:p>
    <w:p>
      <w:pPr>
        <w:pStyle w:val="Heading2"/>
      </w:pPr>
      <w:r>
        <w:t>10.3 Mancata consegna</w:t>
      </w:r>
    </w:p>
    <w:p>
      <w:pPr>
        <w:pStyle w:val="ListBullet"/>
      </w:pPr>
      <w:r>
        <w:t>In caso di mancata consegna, si recupera l’ultima formazione valida disponibile secondo la regola approvata sulla piattaforma.</w:t>
      </w:r>
    </w:p>
    <w:p>
      <w:pPr>
        <w:pStyle w:val="ListBullet"/>
      </w:pPr>
      <w:r>
        <w:t>Dalla seconda mancata consegna potranno essere applicate penalizzazioni in classifica o sul punteggio giornata, se previste dalle impostazioni di lega.</w:t>
      </w:r>
    </w:p>
    <w:p>
      <w:pPr>
        <w:pStyle w:val="ListBullet"/>
      </w:pPr>
      <w:r>
        <w:t>La mancata consegna reiterata può essere considerata comportamento lesivo della regolarità della lega.</w:t>
      </w:r>
    </w:p>
    <w:p>
      <w:pPr>
        <w:pStyle w:val="Heading2"/>
      </w:pPr>
      <w:r>
        <w:t>10.4 Contestazioni e comportamento nel gruppo</w:t>
      </w:r>
    </w:p>
    <w:p>
      <w:pPr>
        <w:pStyle w:val="ListBullet"/>
      </w:pPr>
      <w:r>
        <w:t>Ogni contestazione deve essere formulata in modo chiaro, con riferimento alla regola violata, entro un termine ragionevole dalla pubblicazione dei risultati.</w:t>
      </w:r>
    </w:p>
    <w:p>
      <w:pPr>
        <w:pStyle w:val="ListBullet"/>
      </w:pPr>
      <w:r>
        <w:t>Non sono ammesse contestazioni generiche del tipo “non è giusto” senza indicazione della norma rilevante.</w:t>
      </w:r>
    </w:p>
    <w:p>
      <w:pPr>
        <w:pStyle w:val="ListBullet"/>
      </w:pPr>
      <w:r>
        <w:t>Le contestazioni sulle regole già approvate non sospendono automaticamente competizioni, risultati o procedure di mercato.</w:t>
      </w:r>
    </w:p>
    <w:p>
      <w:pPr>
        <w:pStyle w:val="ListBullet"/>
      </w:pPr>
      <w:r>
        <w:t>Il tono goliardico è parte della lega, ma non deve impedire la gestione ordinata delle regole.</w:t>
      </w:r>
    </w:p>
    <w:p>
      <w:pPr>
        <w:pStyle w:val="ListBullet"/>
      </w:pPr>
      <w:r>
        <w:t>Insulti, provocazioni, meme e sfottò non costituiscono proposta regolamentare.</w:t>
      </w:r>
    </w:p>
    <w:p>
      <w:pPr>
        <w:pStyle w:val="ListBullet"/>
      </w:pPr>
      <w:r>
        <w:t>Le proposte di modifica devono essere scritte in modo comprensibile e completo: non basta dire “fa schifo” o “facciamo come sempre”.</w:t>
      </w:r>
    </w:p>
    <w:p>
      <w:pPr>
        <w:pStyle w:val="ListBullet"/>
      </w:pPr>
      <w:r>
        <w:t>L’organizzazione può chiedere di rinviare una discussione all’anno successivo se la proposta arriva troppo tardi o stravolge il format a ridosso dell’asta.</w:t>
      </w:r>
    </w:p>
    <w:p>
      <w:pPr>
        <w:pStyle w:val="Heading1"/>
      </w:pPr>
      <w:r>
        <w:t>11. Clausole finali, interpretazione e allegati operativi</w:t>
      </w:r>
    </w:p>
    <w:p>
      <w:pPr>
        <w:pStyle w:val="Heading2"/>
      </w:pPr>
      <w:r>
        <w:t>11.1 Gerarchia delle fonti interne</w:t>
      </w:r>
    </w:p>
    <w:p>
      <w:pPr>
        <w:pStyle w:val="ListBullet"/>
      </w:pPr>
      <w:r>
        <w:t>Prima fonte: regolamento ufficiale approvato dal gruppo.</w:t>
      </w:r>
    </w:p>
    <w:p>
      <w:pPr>
        <w:pStyle w:val="ListBullet"/>
      </w:pPr>
      <w:r>
        <w:t>Seconda fonte: impostazioni effettive della piattaforma Fantacalcio.it, se coerenti con il regolamento.</w:t>
      </w:r>
    </w:p>
    <w:p>
      <w:pPr>
        <w:pStyle w:val="ListBullet"/>
      </w:pPr>
      <w:r>
        <w:t>Terza fonte: comunicazioni ufficiali dell’organizzazione nel gruppo.</w:t>
      </w:r>
    </w:p>
    <w:p>
      <w:pPr>
        <w:pStyle w:val="ListBullet"/>
      </w:pPr>
      <w:r>
        <w:t>Quarta fonte: prassi degli anni precedenti, solo se non contraria al nuovo regolamento SFN14.</w:t>
      </w:r>
    </w:p>
    <w:p>
      <w:pPr>
        <w:pStyle w:val="Heading2"/>
      </w:pPr>
      <w:r>
        <w:t>11.2 Casi non previsti</w:t>
      </w:r>
    </w:p>
    <w:p>
      <w:pPr>
        <w:pStyle w:val="ListBullet"/>
      </w:pPr>
      <w:r>
        <w:t>I casi non previsti si risolvono applicando i principi generali: stabilità, trasparenza, equilibrio dei calendari, giocabilità e prevenzione delle polemiche.</w:t>
      </w:r>
    </w:p>
    <w:p>
      <w:pPr>
        <w:pStyle w:val="ListBullet"/>
      </w:pPr>
      <w:r>
        <w:t>Una soluzione adottata per emergenza durante la stagione non diventa automaticamente regola permanente.</w:t>
      </w:r>
    </w:p>
    <w:p>
      <w:pPr>
        <w:pStyle w:val="ListBullet"/>
      </w:pPr>
      <w:r>
        <w:t>Ogni nuovo cavillo nato durante l’anno sarà preferibilmente annotato per la stagione successiva, evitando modifiche creative in corsa.</w:t>
      </w:r>
    </w:p>
    <w:p>
      <w:pPr>
        <w:pStyle w:val="Heading2"/>
      </w:pPr>
      <w:r>
        <w:t>11.3 Approvazione finale</w:t>
      </w:r>
    </w:p>
    <w:p>
      <w:pPr>
        <w:pStyle w:val="ListBullet"/>
      </w:pPr>
      <w:r>
        <w:t>Il regolamento si considera approvato quando il gruppo conferma la versione definitiva prima dell’asta.</w:t>
      </w:r>
    </w:p>
    <w:p>
      <w:pPr>
        <w:pStyle w:val="ListBullet"/>
      </w:pPr>
      <w:r>
        <w:t>La partecipazione all’asta equivale a dichiarare: ho avuto modo di leggere il regolamento, ne accetto il contenuto e rinuncio a contestare in seguito norme già scritte.</w:t>
      </w:r>
    </w:p>
    <w:p>
      <w:pPr>
        <w:pStyle w:val="ListBullet"/>
      </w:pPr>
      <w:r>
        <w:t>Ogni partecipante è invitato a segnalare refusi o dubbi prima dell’asta, non quando il caso concreto coinvolge la propria squadra.</w:t>
      </w:r>
    </w:p>
    <w:p>
      <w:pPr>
        <w:pStyle w:val="Heading1"/>
      </w:pPr>
      <w:r>
        <w:t>Allegato A - Riepilogo ultra-breve delle norme più delicate</w:t>
      </w:r>
    </w:p>
    <w:p>
      <w:pPr>
        <w:pStyle w:val="ListBullet"/>
      </w:pPr>
      <w:r>
        <w:t>Quota 110 euro, montepremi 1.540 euro.</w:t>
      </w:r>
    </w:p>
    <w:p>
      <w:pPr>
        <w:pStyle w:val="ListBullet"/>
      </w:pPr>
      <w:r>
        <w:t>Asta iniziale: 500 crediti, 24 giocatori, 3 portieri + 21 movimento.</w:t>
      </w:r>
    </w:p>
    <w:p>
      <w:pPr>
        <w:pStyle w:val="ListBullet"/>
      </w:pPr>
      <w:r>
        <w:t>Rosa massima durante l’anno: 26.</w:t>
      </w:r>
    </w:p>
    <w:p>
      <w:pPr>
        <w:pStyle w:val="ListBullet"/>
      </w:pPr>
      <w:r>
        <w:t>Crediti mercato: 25 per Asta Smart post-asta, poi 50 per il resto della stagione.</w:t>
      </w:r>
    </w:p>
    <w:p>
      <w:pPr>
        <w:pStyle w:val="ListBullet"/>
      </w:pPr>
      <w:r>
        <w:t>Mercato: cinque Aste Smart a rilanci programmate; una sola tornata iniziale di buste sperimentale.</w:t>
      </w:r>
    </w:p>
    <w:p>
      <w:pPr>
        <w:pStyle w:val="ListBullet"/>
      </w:pPr>
      <w:r>
        <w:t>Svincoli in Aste Smart e nella busta sperimentale: recupero 50% del costo pagato, arrotondato per eccesso.</w:t>
      </w:r>
    </w:p>
    <w:p>
      <w:pPr>
        <w:pStyle w:val="ListBullet"/>
      </w:pPr>
      <w:r>
        <w:t>Gennaio: mercato sospeso; nuovi arrivi esteri acquistabili solo in Asta Smart febbraio.</w:t>
      </w:r>
    </w:p>
    <w:p>
      <w:pPr>
        <w:pStyle w:val="ListBullet"/>
      </w:pPr>
      <w:r>
        <w:t>Scambi solo nelle finestre ufficiali; niente scambi a marzo.</w:t>
      </w:r>
    </w:p>
    <w:p>
      <w:pPr>
        <w:pStyle w:val="ListBullet"/>
      </w:pPr>
      <w:r>
        <w:t>Battle Royale unica F1-F34; Regular F1-F26; Poule F27-F33; Highlander F15-F27.</w:t>
      </w:r>
    </w:p>
    <w:p>
      <w:pPr>
        <w:pStyle w:val="ListBullet"/>
      </w:pPr>
      <w:r>
        <w:t>Ranking Europeo calcolato dopo F27; Champions F28-F33; Europa F28-F34.</w:t>
      </w:r>
    </w:p>
    <w:p>
      <w:pPr>
        <w:pStyle w:val="ListBullet"/>
      </w:pPr>
      <w:r>
        <w:t>Martire pagato dallo Sculato; Cornetti BlaBla penalità fuori montepremi.</w:t>
      </w:r>
    </w:p>
    <w:p>
      <w:r>
        <w:br w:type="page"/>
      </w:r>
    </w:p>
    <w:p>
      <w:pPr>
        <w:pStyle w:val="Heading1"/>
      </w:pPr>
      <w:r>
        <w:t>Appendice non regolamentare - Miglioramenti per SFN 2027/28</w:t>
      </w:r>
    </w:p>
    <w:p>
      <w:r>
        <w:t>Questa appendice raccoglie appunti pratici emersi durante l’organizzazione dell’asta SFN14 2026/27. Non modifica il regolamento della stagione in corso: serve come promemoria per migliorare logistica, format e gestione della prossima stagione.</w:t>
      </w:r>
    </w:p>
    <w:p>
      <w:pPr>
        <w:pStyle w:val="Heading2"/>
      </w:pPr>
      <w:r>
        <w:t>1. Logistica asta e consumazioni</w:t>
      </w:r>
    </w:p>
    <w:tbl>
      <w:tblPr>
        <w:tblStyle w:val="TableGrid"/>
        <w:tblW w:type="auto" w:w="0"/>
        <w:jc w:val="center"/>
        <w:tblLook w:firstColumn="1" w:firstRow="1" w:lastColumn="0" w:lastRow="0" w:noHBand="0" w:noVBand="1" w:val="04A0"/>
      </w:tblPr>
      <w:tblGrid>
        <w:gridCol w:w="2613"/>
        <w:gridCol w:w="2613"/>
        <w:gridCol w:w="2613"/>
        <w:gridCol w:w="2613"/>
      </w:tblGrid>
      <w:tr>
        <w:tc>
          <w:tcPr>
            <w:tcW w:type="dxa" w:w="2613"/>
            <w:shd w:fill="D9EAF7"/>
          </w:tcPr>
          <w:p>
            <w:r/>
            <w:r>
              <w:rPr>
                <w:b/>
                <w:sz w:val="18"/>
              </w:rPr>
              <w:t>Voce</w:t>
            </w:r>
          </w:p>
        </w:tc>
        <w:tc>
          <w:tcPr>
            <w:tcW w:type="dxa" w:w="2613"/>
            <w:shd w:fill="D9EAF7"/>
          </w:tcPr>
          <w:p>
            <w:r/>
            <w:r>
              <w:rPr>
                <w:b/>
                <w:sz w:val="18"/>
              </w:rPr>
              <w:t>Quantità 2026/27</w:t>
            </w:r>
          </w:p>
        </w:tc>
        <w:tc>
          <w:tcPr>
            <w:tcW w:type="dxa" w:w="2613"/>
            <w:shd w:fill="D9EAF7"/>
          </w:tcPr>
          <w:p>
            <w:r/>
            <w:r>
              <w:rPr>
                <w:b/>
                <w:sz w:val="18"/>
              </w:rPr>
              <w:t>Criticità emersa</w:t>
            </w:r>
          </w:p>
        </w:tc>
        <w:tc>
          <w:tcPr>
            <w:tcW w:type="dxa" w:w="2613"/>
            <w:shd w:fill="D9EAF7"/>
          </w:tcPr>
          <w:p>
            <w:r/>
            <w:r>
              <w:rPr>
                <w:b/>
                <w:sz w:val="18"/>
              </w:rPr>
              <w:t>Consiglio 2027/28</w:t>
            </w:r>
          </w:p>
        </w:tc>
      </w:tr>
      <w:tr>
        <w:tc>
          <w:tcPr>
            <w:tcW w:type="dxa" w:w="2613"/>
            <w:vAlign w:val="top"/>
          </w:tcPr>
          <w:p>
            <w:r/>
            <w:r>
              <w:rPr>
                <w:b w:val="0"/>
                <w:sz w:val="18"/>
              </w:rPr>
              <w:t>Presenti</w:t>
            </w:r>
          </w:p>
        </w:tc>
        <w:tc>
          <w:tcPr>
            <w:tcW w:type="dxa" w:w="2613"/>
            <w:vAlign w:val="top"/>
          </w:tcPr>
          <w:p>
            <w:r/>
            <w:r>
              <w:rPr>
                <w:b w:val="0"/>
                <w:sz w:val="18"/>
              </w:rPr>
              <w:t>16 persone</w:t>
            </w:r>
          </w:p>
        </w:tc>
        <w:tc>
          <w:tcPr>
            <w:tcW w:type="dxa" w:w="2613"/>
            <w:vAlign w:val="top"/>
          </w:tcPr>
          <w:p>
            <w:r/>
            <w:r>
              <w:rPr>
                <w:b w:val="0"/>
                <w:sz w:val="18"/>
              </w:rPr>
              <w:t>Dato base per il calcolo</w:t>
            </w:r>
          </w:p>
        </w:tc>
        <w:tc>
          <w:tcPr>
            <w:tcW w:type="dxa" w:w="2613"/>
            <w:vAlign w:val="top"/>
          </w:tcPr>
          <w:p>
            <w:r/>
            <w:r>
              <w:rPr>
                <w:b w:val="0"/>
                <w:sz w:val="18"/>
              </w:rPr>
              <w:t>Usare come riferimento per prossima asta</w:t>
            </w:r>
          </w:p>
        </w:tc>
      </w:tr>
      <w:tr>
        <w:tc>
          <w:tcPr>
            <w:tcW w:type="dxa" w:w="2613"/>
            <w:vAlign w:val="top"/>
          </w:tcPr>
          <w:p>
            <w:r/>
            <w:r>
              <w:rPr>
                <w:b w:val="0"/>
                <w:sz w:val="18"/>
              </w:rPr>
              <w:t>Pizza</w:t>
            </w:r>
          </w:p>
        </w:tc>
        <w:tc>
          <w:tcPr>
            <w:tcW w:type="dxa" w:w="2613"/>
            <w:vAlign w:val="top"/>
          </w:tcPr>
          <w:p>
            <w:r/>
            <w:r>
              <w:rPr>
                <w:b w:val="0"/>
                <w:sz w:val="18"/>
              </w:rPr>
              <w:t>5 metri</w:t>
            </w:r>
          </w:p>
        </w:tc>
        <w:tc>
          <w:tcPr>
            <w:tcW w:type="dxa" w:w="2613"/>
            <w:vAlign w:val="top"/>
          </w:tcPr>
          <w:p>
            <w:r/>
            <w:r>
              <w:rPr>
                <w:b w:val="0"/>
                <w:sz w:val="18"/>
              </w:rPr>
              <w:t>Ne serviva circa 1 metro in più</w:t>
            </w:r>
          </w:p>
        </w:tc>
        <w:tc>
          <w:tcPr>
            <w:tcW w:type="dxa" w:w="2613"/>
            <w:vAlign w:val="top"/>
          </w:tcPr>
          <w:p>
            <w:r/>
            <w:r>
              <w:rPr>
                <w:b w:val="0"/>
                <w:sz w:val="18"/>
              </w:rPr>
              <w:t>Prevedere 6 metri</w:t>
            </w:r>
          </w:p>
        </w:tc>
      </w:tr>
      <w:tr>
        <w:tc>
          <w:tcPr>
            <w:tcW w:type="dxa" w:w="2613"/>
            <w:vAlign w:val="top"/>
          </w:tcPr>
          <w:p>
            <w:r/>
            <w:r>
              <w:rPr>
                <w:b w:val="0"/>
                <w:sz w:val="18"/>
              </w:rPr>
              <w:t>Patatine</w:t>
            </w:r>
          </w:p>
        </w:tc>
        <w:tc>
          <w:tcPr>
            <w:tcW w:type="dxa" w:w="2613"/>
            <w:vAlign w:val="top"/>
          </w:tcPr>
          <w:p>
            <w:r/>
            <w:r>
              <w:rPr>
                <w:b w:val="0"/>
                <w:sz w:val="18"/>
              </w:rPr>
              <w:t>2 pacchi</w:t>
            </w:r>
          </w:p>
        </w:tc>
        <w:tc>
          <w:tcPr>
            <w:tcW w:type="dxa" w:w="2613"/>
            <w:vAlign w:val="top"/>
          </w:tcPr>
          <w:p>
            <w:r/>
            <w:r>
              <w:rPr>
                <w:b w:val="0"/>
                <w:sz w:val="18"/>
              </w:rPr>
              <w:t>Ne servivano 2 pacchi in più</w:t>
            </w:r>
          </w:p>
        </w:tc>
        <w:tc>
          <w:tcPr>
            <w:tcW w:type="dxa" w:w="2613"/>
            <w:vAlign w:val="top"/>
          </w:tcPr>
          <w:p>
            <w:r/>
            <w:r>
              <w:rPr>
                <w:b w:val="0"/>
                <w:sz w:val="18"/>
              </w:rPr>
              <w:t>Prevedere 4 pacchi</w:t>
            </w:r>
          </w:p>
        </w:tc>
      </w:tr>
      <w:tr>
        <w:tc>
          <w:tcPr>
            <w:tcW w:type="dxa" w:w="2613"/>
            <w:vAlign w:val="top"/>
          </w:tcPr>
          <w:p>
            <w:r/>
            <w:r>
              <w:rPr>
                <w:b w:val="0"/>
                <w:sz w:val="18"/>
              </w:rPr>
              <w:t>Birra</w:t>
            </w:r>
          </w:p>
        </w:tc>
        <w:tc>
          <w:tcPr>
            <w:tcW w:type="dxa" w:w="2613"/>
            <w:vAlign w:val="top"/>
          </w:tcPr>
          <w:p>
            <w:r/>
            <w:r>
              <w:rPr>
                <w:b w:val="0"/>
                <w:sz w:val="18"/>
              </w:rPr>
              <w:t>10 bottiglie da 33 cl</w:t>
            </w:r>
          </w:p>
        </w:tc>
        <w:tc>
          <w:tcPr>
            <w:tcW w:type="dxa" w:w="2613"/>
            <w:vAlign w:val="top"/>
          </w:tcPr>
          <w:p>
            <w:r/>
            <w:r>
              <w:rPr>
                <w:b w:val="0"/>
                <w:sz w:val="18"/>
              </w:rPr>
              <w:t>Sono avanzate 2 bottiglie</w:t>
            </w:r>
          </w:p>
        </w:tc>
        <w:tc>
          <w:tcPr>
            <w:tcW w:type="dxa" w:w="2613"/>
            <w:vAlign w:val="top"/>
          </w:tcPr>
          <w:p>
            <w:r/>
            <w:r>
              <w:rPr>
                <w:b w:val="0"/>
                <w:sz w:val="18"/>
              </w:rPr>
              <w:t>8-10 bottiglie possono bastare</w:t>
            </w:r>
          </w:p>
        </w:tc>
      </w:tr>
      <w:tr>
        <w:tc>
          <w:tcPr>
            <w:tcW w:type="dxa" w:w="2613"/>
            <w:vAlign w:val="top"/>
          </w:tcPr>
          <w:p>
            <w:r/>
            <w:r>
              <w:rPr>
                <w:b w:val="0"/>
                <w:sz w:val="18"/>
              </w:rPr>
              <w:t>Coca-Cola</w:t>
            </w:r>
          </w:p>
        </w:tc>
        <w:tc>
          <w:tcPr>
            <w:tcW w:type="dxa" w:w="2613"/>
            <w:vAlign w:val="top"/>
          </w:tcPr>
          <w:p>
            <w:r/>
            <w:r>
              <w:rPr>
                <w:b w:val="0"/>
                <w:sz w:val="18"/>
              </w:rPr>
              <w:t>5,5 litri</w:t>
            </w:r>
          </w:p>
        </w:tc>
        <w:tc>
          <w:tcPr>
            <w:tcW w:type="dxa" w:w="2613"/>
            <w:vAlign w:val="top"/>
          </w:tcPr>
          <w:p>
            <w:r/>
            <w:r>
              <w:rPr>
                <w:b w:val="0"/>
                <w:sz w:val="18"/>
              </w:rPr>
              <w:t>Ne serviva circa 1,5 litri in più</w:t>
            </w:r>
          </w:p>
        </w:tc>
        <w:tc>
          <w:tcPr>
            <w:tcW w:type="dxa" w:w="2613"/>
            <w:vAlign w:val="top"/>
          </w:tcPr>
          <w:p>
            <w:r/>
            <w:r>
              <w:rPr>
                <w:b w:val="0"/>
                <w:sz w:val="18"/>
              </w:rPr>
              <w:t>Prevedere circa 7 litri</w:t>
            </w:r>
          </w:p>
        </w:tc>
      </w:tr>
      <w:tr>
        <w:tc>
          <w:tcPr>
            <w:tcW w:type="dxa" w:w="2613"/>
            <w:vAlign w:val="top"/>
          </w:tcPr>
          <w:p>
            <w:r/>
            <w:r>
              <w:rPr>
                <w:b w:val="0"/>
                <w:sz w:val="18"/>
              </w:rPr>
              <w:t>Acqua</w:t>
            </w:r>
          </w:p>
        </w:tc>
        <w:tc>
          <w:tcPr>
            <w:tcW w:type="dxa" w:w="2613"/>
            <w:vAlign w:val="top"/>
          </w:tcPr>
          <w:p>
            <w:r/>
            <w:r>
              <w:rPr>
                <w:b w:val="0"/>
                <w:sz w:val="18"/>
              </w:rPr>
              <w:t>18 litri</w:t>
            </w:r>
          </w:p>
        </w:tc>
        <w:tc>
          <w:tcPr>
            <w:tcW w:type="dxa" w:w="2613"/>
            <w:vAlign w:val="top"/>
          </w:tcPr>
          <w:p>
            <w:r/>
            <w:r>
              <w:rPr>
                <w:b w:val="0"/>
                <w:sz w:val="18"/>
              </w:rPr>
              <w:t>Ne servivano 3-4 litri in più</w:t>
            </w:r>
          </w:p>
        </w:tc>
        <w:tc>
          <w:tcPr>
            <w:tcW w:type="dxa" w:w="2613"/>
            <w:vAlign w:val="top"/>
          </w:tcPr>
          <w:p>
            <w:r/>
            <w:r>
              <w:rPr>
                <w:b w:val="0"/>
                <w:sz w:val="18"/>
              </w:rPr>
              <w:t>Prevedere 21-22 litri</w:t>
            </w:r>
          </w:p>
        </w:tc>
      </w:tr>
      <w:tr>
        <w:tc>
          <w:tcPr>
            <w:tcW w:type="dxa" w:w="2613"/>
            <w:vAlign w:val="top"/>
          </w:tcPr>
          <w:p>
            <w:r/>
            <w:r>
              <w:rPr>
                <w:b w:val="0"/>
                <w:sz w:val="18"/>
              </w:rPr>
              <w:t>Piattini di carta</w:t>
            </w:r>
          </w:p>
        </w:tc>
        <w:tc>
          <w:tcPr>
            <w:tcW w:type="dxa" w:w="2613"/>
            <w:vAlign w:val="top"/>
          </w:tcPr>
          <w:p>
            <w:r/>
            <w:r>
              <w:rPr>
                <w:b w:val="0"/>
                <w:sz w:val="18"/>
              </w:rPr>
              <w:t>25 piattini</w:t>
            </w:r>
          </w:p>
        </w:tc>
        <w:tc>
          <w:tcPr>
            <w:tcW w:type="dxa" w:w="2613"/>
            <w:vAlign w:val="top"/>
          </w:tcPr>
          <w:p>
            <w:r/>
            <w:r>
              <w:rPr>
                <w:b w:val="0"/>
                <w:sz w:val="18"/>
              </w:rPr>
              <w:t>Ne servivano altri 25</w:t>
            </w:r>
          </w:p>
        </w:tc>
        <w:tc>
          <w:tcPr>
            <w:tcW w:type="dxa" w:w="2613"/>
            <w:vAlign w:val="top"/>
          </w:tcPr>
          <w:p>
            <w:r/>
            <w:r>
              <w:rPr>
                <w:b w:val="0"/>
                <w:sz w:val="18"/>
              </w:rPr>
              <w:t>Prevedere almeno 50 piattini</w:t>
            </w:r>
          </w:p>
        </w:tc>
      </w:tr>
    </w:tbl>
    <w:p>
      <w:pPr>
        <w:pStyle w:val="Heading2"/>
      </w:pPr>
      <w:r>
        <w:t>2. Parcheggio e gestione auto</w:t>
      </w:r>
    </w:p>
    <w:p>
      <w:r>
        <w:t>Nel giardino sono entrate 8 auto complessive, compresa quella del padrone di casa. Per la prossima asta, oltre questo numero, conviene prevedere parcheggio esterno o accordarsi prima su auto condivise e arrivi scaglionati.</w:t>
      </w:r>
    </w:p>
    <w:p>
      <w:pPr>
        <w:pStyle w:val="Heading2"/>
      </w:pPr>
      <w:r>
        <w:t>3. Rose iniziali e numero giocatori</w:t>
      </w:r>
    </w:p>
    <w:p>
      <w:r>
        <w:t>Il regolamento 2026/27 prevedeva all’asta iniziale 3 portieri + 21 giocatori di movimento, per un totale di 24 calciatori, con rosa massima stagionale a 26. Diversi partecipanti hanno segnalato che 21 giocatori di movimento sono pochi per un format a 14 squadre e con più competizioni parallele.</w:t>
      </w:r>
    </w:p>
    <w:p>
      <w:r>
        <w:t>Per la stagione 2027/28 si potrà valutare una rosa iniziale più ampia: 3 portieri + 22 giocatori di movimento oppure 3 portieri + 23 giocatori di movimento. La soluzione 3+22 mantiene un piccolo margine per il mercato post-asta; la soluzione 3+23 porta subito la rosa a 26 e riduce il rischio di rose corte.</w:t>
      </w:r>
    </w:p>
    <w:p>
      <w:pPr>
        <w:pStyle w:val="Heading2"/>
      </w:pPr>
      <w:r>
        <w:t>4. Nota generale</w:t>
      </w:r>
    </w:p>
    <w:p>
      <w:r>
        <w:t>L’esperienza 2026/27 conferma che il format a 14 è gestibile, ma richiede decisioni più anticipate e una logistica più precisa rispetto al Mantra classico a 12. Per il futuro sarà utile chiudere con largo anticipo numero giocatori in rosa, calendario mercato, quantità logistiche, parcheggi disponibili e versione definitiva del regolamento.</w:t>
      </w:r>
    </w:p>
    <w:p/>
    <w:sectPr w:rsidR="00FC693F" w:rsidRPr="0006063C" w:rsidSect="00034616">
      <w:headerReference w:type="default" r:id="rId9"/>
      <w:footerReference w:type="default" r:id="rId10"/>
      <w:pgSz w:w="12240" w:h="15840"/>
      <w:pgMar w:top="835" w:right="893" w:bottom="749"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SFN14 - Super Fanta Nola 2026/27 · Versione v9.41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color w:val="646464"/>
        <w:sz w:val="16"/>
      </w:rPr>
      <w:t>SFN14 - Super Fanta Nola 2026/27 · Regolamento operativo esteso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F2A44"/>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215A96"/>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1F2A44"/>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F2A44"/>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